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5.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5.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b w:val="1"/>
          <w:bCs w:val="1"/>
          <w:color w:val="000000"/>
          <w:sz w:val="24"/>
          <w:szCs w:val="24"/>
        </w:rPr>
      </w:pPr>
      <w:bookmarkStart w:colFirst="0" w:colLast="0" w:name="_heading=h.f2p04ruviwos" w:id="0"/>
      <w:bookmarkEnd w:id="0"/>
      <w:r w:rsidDel="00000000" w:rsidR="00000000" w:rsidRPr="00000000">
        <w:rPr>
          <w:rFonts w:ascii="Times New Roman" w:cs="Times New Roman" w:eastAsia="Times New Roman" w:hAnsi="Times New Roman"/>
          <w:b w:val="1"/>
          <w:bCs w:val="1"/>
          <w:color w:val="000000"/>
          <w:sz w:val="24"/>
          <w:szCs w:val="24"/>
          <w:rtl w:val="0"/>
        </w:rPr>
        <w:t xml:space="preserve">EXPLORING STUDENTS’ PATHWAYS IN THE COLLEGE OF EDUCATION:</w:t>
      </w:r>
    </w:p>
    <w:p w:rsidR="00000000" w:rsidDel="00000000" w:rsidP="00000000" w:rsidRDefault="00000000" w:rsidRPr="00000000" w14:paraId="00000002">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ENTRY, RETENTION AND ATTRITION PATTERNS</w:t>
      </w:r>
    </w:p>
    <w:p w:rsidR="00000000" w:rsidDel="00000000" w:rsidP="00000000" w:rsidRDefault="00000000" w:rsidRPr="00000000" w14:paraId="00000003">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Research Presented to</w:t>
      </w:r>
    </w:p>
    <w:p w:rsidR="00000000" w:rsidDel="00000000" w:rsidP="00000000" w:rsidRDefault="00000000" w:rsidRPr="00000000" w14:paraId="00000008">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College of Education</w:t>
      </w:r>
    </w:p>
    <w:p w:rsidR="00000000" w:rsidDel="00000000" w:rsidP="00000000" w:rsidRDefault="00000000" w:rsidRPr="00000000" w14:paraId="00000009">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Misamis University</w:t>
      </w:r>
    </w:p>
    <w:p w:rsidR="00000000" w:rsidDel="00000000" w:rsidP="00000000" w:rsidRDefault="00000000" w:rsidRPr="00000000" w14:paraId="0000000A">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Ozamiz City</w:t>
      </w:r>
    </w:p>
    <w:p w:rsidR="00000000" w:rsidDel="00000000" w:rsidP="00000000" w:rsidRDefault="00000000" w:rsidRPr="00000000" w14:paraId="0000000B">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Partial Fulfillment</w:t>
      </w:r>
    </w:p>
    <w:p w:rsidR="00000000" w:rsidDel="00000000" w:rsidP="00000000" w:rsidRDefault="00000000" w:rsidRPr="00000000" w14:paraId="00000010">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 the Requirements for the Course</w:t>
      </w:r>
    </w:p>
    <w:p w:rsidR="00000000" w:rsidDel="00000000" w:rsidP="00000000" w:rsidRDefault="00000000" w:rsidRPr="00000000" w14:paraId="00000011">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Research in Mathematics</w:t>
      </w:r>
    </w:p>
    <w:p w:rsidR="00000000" w:rsidDel="00000000" w:rsidP="00000000" w:rsidRDefault="00000000" w:rsidRPr="00000000" w14:paraId="00000012">
      <w:pPr>
        <w:spacing w:line="4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by</w:t>
      </w:r>
    </w:p>
    <w:p w:rsidR="00000000" w:rsidDel="00000000" w:rsidP="00000000" w:rsidRDefault="00000000" w:rsidRPr="00000000" w14:paraId="00000016">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MELLIA FLOR L. LAPINID</w:t>
      </w:r>
    </w:p>
    <w:p w:rsidR="00000000" w:rsidDel="00000000" w:rsidP="00000000" w:rsidRDefault="00000000" w:rsidRPr="00000000" w14:paraId="00000018">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JEMARD C. QUIPIT</w:t>
      </w:r>
    </w:p>
    <w:p w:rsidR="00000000" w:rsidDel="00000000" w:rsidP="00000000" w:rsidRDefault="00000000" w:rsidRPr="00000000" w14:paraId="00000019">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A">
      <w:pPr>
        <w:spacing w:line="480" w:lineRule="auto"/>
        <w:jc w:val="center"/>
        <w:rPr>
          <w:rFonts w:ascii="Times New Roman" w:cs="Times New Roman" w:eastAsia="Times New Roman" w:hAnsi="Times New Roman"/>
          <w:color w:val="000000"/>
          <w:sz w:val="24"/>
          <w:szCs w:val="24"/>
        </w:rPr>
      </w:pPr>
      <w:bookmarkStart w:colFirst="0" w:colLast="0" w:name="_heading=h.7qr5usrpofit" w:id="1"/>
      <w:bookmarkEnd w:id="1"/>
      <w:r w:rsidDel="00000000" w:rsidR="00000000" w:rsidRPr="00000000">
        <w:rPr>
          <w:rFonts w:ascii="Times New Roman" w:cs="Times New Roman" w:eastAsia="Times New Roman" w:hAnsi="Times New Roman"/>
          <w:color w:val="000000"/>
          <w:sz w:val="24"/>
          <w:szCs w:val="24"/>
          <w:rtl w:val="0"/>
        </w:rPr>
        <w:t xml:space="preserve">JULY 2024</w:t>
      </w:r>
    </w:p>
    <w:p w:rsidR="00000000" w:rsidDel="00000000" w:rsidP="00000000" w:rsidRDefault="00000000" w:rsidRPr="00000000" w14:paraId="0000001B">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APPROVAL SHEET</w:t>
      </w:r>
    </w:p>
    <w:p w:rsidR="00000000" w:rsidDel="00000000" w:rsidP="00000000" w:rsidRDefault="00000000" w:rsidRPr="00000000" w14:paraId="0000001C">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D">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thesis entitled,</w:t>
      </w:r>
      <w:r w:rsidDel="00000000" w:rsidR="00000000" w:rsidRPr="00000000">
        <w:rPr>
          <w:rFonts w:ascii="Times New Roman" w:cs="Times New Roman" w:eastAsia="Times New Roman" w:hAnsi="Times New Roman"/>
          <w:b w:val="1"/>
          <w:bCs w:val="1"/>
          <w:color w:val="000000"/>
          <w:sz w:val="24"/>
          <w:szCs w:val="24"/>
          <w:rtl w:val="0"/>
        </w:rPr>
        <w:t xml:space="preserve"> “EXPLORING STUDENTS’ PATHWAYS IN THE COLLEGE OF EDUCATION: ENTRY, RETENTION AND ATTRITION PATTERNS  </w:t>
      </w:r>
      <w:r w:rsidDel="00000000" w:rsidR="00000000" w:rsidRPr="00000000">
        <w:rPr>
          <w:rFonts w:ascii="Times New Roman" w:cs="Times New Roman" w:eastAsia="Times New Roman" w:hAnsi="Times New Roman"/>
          <w:color w:val="000000"/>
          <w:sz w:val="24"/>
          <w:szCs w:val="24"/>
          <w:rtl w:val="0"/>
        </w:rPr>
        <w:t xml:space="preserve">prepared and submitted by</w:t>
      </w:r>
      <w:r w:rsidDel="00000000" w:rsidR="00000000" w:rsidRPr="00000000">
        <w:rPr>
          <w:rFonts w:ascii="Times New Roman" w:cs="Times New Roman" w:eastAsia="Times New Roman" w:hAnsi="Times New Roman"/>
          <w:b w:val="1"/>
          <w:bCs w:val="1"/>
          <w:color w:val="000000"/>
          <w:sz w:val="24"/>
          <w:szCs w:val="24"/>
          <w:rtl w:val="0"/>
        </w:rPr>
        <w:t xml:space="preserve"> Mellia Flor L. Lapinid, and Jemard C. Quipit, </w:t>
      </w:r>
      <w:r w:rsidDel="00000000" w:rsidR="00000000" w:rsidRPr="00000000">
        <w:rPr>
          <w:rFonts w:ascii="Times New Roman" w:cs="Times New Roman" w:eastAsia="Times New Roman" w:hAnsi="Times New Roman"/>
          <w:color w:val="000000"/>
          <w:sz w:val="24"/>
          <w:szCs w:val="24"/>
          <w:rtl w:val="0"/>
        </w:rPr>
        <w:t xml:space="preserve">in partial fulfillment of the requirements for the degree of Bachelor in Secondary Education major in Mathematics, has been examined and is recommended for acceptance and approval for Oral Examination.</w:t>
      </w:r>
      <w:r w:rsidDel="00000000" w:rsidR="00000000" w:rsidRPr="00000000">
        <w:rPr>
          <w:rtl w:val="0"/>
        </w:rPr>
      </w:r>
    </w:p>
    <w:p w:rsidR="00000000" w:rsidDel="00000000" w:rsidP="00000000" w:rsidRDefault="00000000" w:rsidRPr="00000000" w14:paraId="0000001E">
      <w:pPr>
        <w:ind w:left="5040"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F">
      <w:pPr>
        <w:ind w:left="5040"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Mr. REYWEL C. ENTERA</w:t>
      </w:r>
    </w:p>
    <w:p w:rsidR="00000000" w:rsidDel="00000000" w:rsidP="00000000" w:rsidRDefault="00000000" w:rsidRPr="00000000" w14:paraId="00000020">
      <w:pPr>
        <w:ind w:left="5040"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Adviser</w:t>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ab/>
      </w:r>
    </w:p>
    <w:p w:rsidR="00000000" w:rsidDel="00000000" w:rsidP="00000000" w:rsidRDefault="00000000" w:rsidRPr="00000000" w14:paraId="00000022">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Approved by the Thesis Committee on Oral Examination with a grade of_______.</w:t>
      </w:r>
    </w:p>
    <w:p w:rsidR="00000000" w:rsidDel="00000000" w:rsidP="00000000" w:rsidRDefault="00000000" w:rsidRPr="00000000" w14:paraId="00000024">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Dr. GENELYN R. BALUYOS</w:t>
      </w:r>
    </w:p>
    <w:p w:rsidR="00000000" w:rsidDel="00000000" w:rsidP="00000000" w:rsidRDefault="00000000" w:rsidRPr="00000000" w14:paraId="0000002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Chairman</w:t>
      </w:r>
    </w:p>
    <w:p w:rsidR="00000000" w:rsidDel="00000000" w:rsidP="00000000" w:rsidRDefault="00000000" w:rsidRPr="00000000" w14:paraId="00000027">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Ms. JOICELYN A. BACUS </w:t>
        <w:tab/>
        <w:t xml:space="preserve">                </w:t>
        <w:tab/>
        <w:tab/>
        <w:t xml:space="preserve">   Dr. ANALYN S. CLARIN</w:t>
      </w:r>
    </w:p>
    <w:p w:rsidR="00000000" w:rsidDel="00000000" w:rsidP="00000000" w:rsidRDefault="00000000" w:rsidRPr="00000000" w14:paraId="0000002A">
      <w:pPr>
        <w:ind w:firstLine="72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Member                                                                                Member</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Accepted and approved in partial fulfillment of the requirements for the degree </w:t>
      </w:r>
      <w:r w:rsidDel="00000000" w:rsidR="00000000" w:rsidRPr="00000000">
        <w:rPr>
          <w:rFonts w:ascii="Times New Roman" w:cs="Times New Roman" w:eastAsia="Times New Roman" w:hAnsi="Times New Roman"/>
          <w:b w:val="1"/>
          <w:bCs w:val="1"/>
          <w:color w:val="000000"/>
          <w:sz w:val="24"/>
          <w:szCs w:val="24"/>
          <w:rtl w:val="0"/>
        </w:rPr>
        <w:t xml:space="preserve">Bachelor in Secondary Education </w:t>
      </w:r>
      <w:r w:rsidDel="00000000" w:rsidR="00000000" w:rsidRPr="00000000">
        <w:rPr>
          <w:rFonts w:ascii="Times New Roman" w:cs="Times New Roman" w:eastAsia="Times New Roman" w:hAnsi="Times New Roman"/>
          <w:color w:val="000000"/>
          <w:sz w:val="24"/>
          <w:szCs w:val="24"/>
          <w:rtl w:val="0"/>
        </w:rPr>
        <w:t xml:space="preserve">major in</w:t>
      </w:r>
      <w:r w:rsidDel="00000000" w:rsidR="00000000" w:rsidRPr="00000000">
        <w:rPr>
          <w:rFonts w:ascii="Times New Roman" w:cs="Times New Roman" w:eastAsia="Times New Roman" w:hAnsi="Times New Roman"/>
          <w:b w:val="1"/>
          <w:bCs w:val="1"/>
          <w:color w:val="000000"/>
          <w:sz w:val="24"/>
          <w:szCs w:val="24"/>
          <w:rtl w:val="0"/>
        </w:rPr>
        <w:t xml:space="preserve"> Mathematics.</w:t>
      </w:r>
    </w:p>
    <w:p w:rsidR="00000000" w:rsidDel="00000000" w:rsidP="00000000" w:rsidRDefault="00000000" w:rsidRPr="00000000" w14:paraId="00000032">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9">
      <w:pPr>
        <w:ind w:left="504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GENELYN R. BALUYOS, EdD</w:t>
      </w:r>
    </w:p>
    <w:p w:rsidR="00000000" w:rsidDel="00000000" w:rsidP="00000000" w:rsidRDefault="00000000" w:rsidRPr="00000000" w14:paraId="0000003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Dean, College of Education</w:t>
      </w:r>
    </w:p>
    <w:p w:rsidR="00000000" w:rsidDel="00000000" w:rsidP="00000000" w:rsidRDefault="00000000" w:rsidRPr="00000000" w14:paraId="0000003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July 2024</w:t>
      </w:r>
    </w:p>
    <w:p w:rsidR="00000000" w:rsidDel="00000000" w:rsidP="00000000" w:rsidRDefault="00000000" w:rsidRPr="00000000" w14:paraId="0000003C">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ACKNOWLEDGMENT</w:t>
      </w:r>
    </w:p>
    <w:p w:rsidR="00000000" w:rsidDel="00000000" w:rsidP="00000000" w:rsidRDefault="00000000" w:rsidRPr="00000000" w14:paraId="0000003F">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researchers would like to express their deepest gratitude to Almighty God for His constant guidance and abundant blessings throughout this study, which has given us the strength and clarity needed to complete our work.</w:t>
      </w:r>
    </w:p>
    <w:p w:rsidR="00000000" w:rsidDel="00000000" w:rsidP="00000000" w:rsidRDefault="00000000" w:rsidRPr="00000000" w14:paraId="00000041">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Special thanks are extended to Dr. Genelyn R. Baluyos, the researchers' esteemed instructor, whose profound expertise and continuous encouragement significantly enriched the quality of our research.</w:t>
      </w:r>
    </w:p>
    <w:p w:rsidR="00000000" w:rsidDel="00000000" w:rsidP="00000000" w:rsidRDefault="00000000" w:rsidRPr="00000000" w14:paraId="00000042">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researchers are profoundly grateful to our families for their unwavering support and belief in us. Their endless encouragement and understanding were truly invaluable during this journey.</w:t>
      </w:r>
    </w:p>
    <w:p w:rsidR="00000000" w:rsidDel="00000000" w:rsidP="00000000" w:rsidRDefault="00000000" w:rsidRPr="00000000" w14:paraId="00000043">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Furthermore, the researchers acknowledge our classmates for their camaraderie and collaborative spirit, which fostered an environment of mutual support and intellectual growth, greatly enhancing our learning experience.</w:t>
      </w:r>
    </w:p>
    <w:p w:rsidR="00000000" w:rsidDel="00000000" w:rsidP="00000000" w:rsidRDefault="00000000" w:rsidRPr="00000000" w14:paraId="00000044">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Lastly, the researchers extend our heartfelt gratitude to our adviser, Mr. Rewel C. Entera, for his invaluable guidance and support throughout this study.</w:t>
      </w:r>
    </w:p>
    <w:p w:rsidR="00000000" w:rsidDel="00000000" w:rsidP="00000000" w:rsidRDefault="00000000" w:rsidRPr="00000000" w14:paraId="00000045">
      <w:pPr>
        <w:spacing w:line="48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pacing w:line="480" w:lineRule="auto"/>
        <w:jc w:val="right"/>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Mellia Flor, &amp; Jemard </w:t>
      </w:r>
    </w:p>
    <w:p w:rsidR="00000000" w:rsidDel="00000000" w:rsidP="00000000" w:rsidRDefault="00000000" w:rsidRPr="00000000" w14:paraId="00000047">
      <w:pPr>
        <w:spacing w:line="480" w:lineRule="auto"/>
        <w:jc w:val="right"/>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048">
      <w:pPr>
        <w:spacing w:line="480" w:lineRule="auto"/>
        <w:jc w:val="right"/>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049">
      <w:pPr>
        <w:spacing w:line="48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04A">
      <w:pPr>
        <w:spacing w:line="48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04B">
      <w:pPr>
        <w:spacing w:line="48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04C">
      <w:pPr>
        <w:spacing w:line="48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DEDICATION</w:t>
      </w:r>
    </w:p>
    <w:p w:rsidR="00000000" w:rsidDel="00000000" w:rsidP="00000000" w:rsidRDefault="00000000" w:rsidRPr="00000000" w14:paraId="0000004E">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Almighty God,  </w:t>
      </w:r>
    </w:p>
    <w:p w:rsidR="00000000" w:rsidDel="00000000" w:rsidP="00000000" w:rsidRDefault="00000000" w:rsidRPr="00000000" w14:paraId="00000050">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whose divine guidance and blessings illuminated</w:t>
      </w:r>
    </w:p>
    <w:p w:rsidR="00000000" w:rsidDel="00000000" w:rsidP="00000000" w:rsidRDefault="00000000" w:rsidRPr="00000000" w14:paraId="00000051">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our path throughout this journey, providing us with the </w:t>
      </w:r>
    </w:p>
    <w:p w:rsidR="00000000" w:rsidDel="00000000" w:rsidP="00000000" w:rsidRDefault="00000000" w:rsidRPr="00000000" w14:paraId="00000052">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strength, wisdom, and perseverance needed at every step. His constant </w:t>
      </w:r>
    </w:p>
    <w:p w:rsidR="00000000" w:rsidDel="00000000" w:rsidP="00000000" w:rsidRDefault="00000000" w:rsidRPr="00000000" w14:paraId="00000053">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presence has been our source of inspiration, comfort, and unwavering support.</w:t>
      </w:r>
    </w:p>
    <w:p w:rsidR="00000000" w:rsidDel="00000000" w:rsidP="00000000" w:rsidRDefault="00000000" w:rsidRPr="00000000" w14:paraId="00000054">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our families, whose unwavering support, love, and sacrifices made this endeavor possible and meaningful. Their encouragement and belief in our potential fueled our determination, while their understanding and patience were a cornerstone of our success.</w:t>
      </w:r>
    </w:p>
    <w:p w:rsidR="00000000" w:rsidDel="00000000" w:rsidP="00000000" w:rsidRDefault="00000000" w:rsidRPr="00000000" w14:paraId="00000055">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the College of Education, where knowledge and growth flourish, shaping our understanding and dedication to education. This institution provided a nurturing environment that fostered our academic and personal development, </w:t>
      </w:r>
    </w:p>
    <w:p w:rsidR="00000000" w:rsidDel="00000000" w:rsidP="00000000" w:rsidRDefault="00000000" w:rsidRPr="00000000" w14:paraId="00000056">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equipping us with the skills and passion necessary to make</w:t>
      </w:r>
    </w:p>
    <w:p w:rsidR="00000000" w:rsidDel="00000000" w:rsidP="00000000" w:rsidRDefault="00000000" w:rsidRPr="00000000" w14:paraId="00000057">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meaningful contributions to the field of education.</w:t>
      </w:r>
    </w:p>
    <w:p w:rsidR="00000000" w:rsidDel="00000000" w:rsidP="00000000" w:rsidRDefault="00000000" w:rsidRPr="00000000" w14:paraId="00000058">
      <w:pPr>
        <w:spacing w:line="4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spacing w:line="480" w:lineRule="auto"/>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Mellia Flor, &amp; Jemard</w:t>
      </w:r>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5B">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D">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F">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0">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1">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ABSTRACT</w:t>
      </w:r>
    </w:p>
    <w:p w:rsidR="00000000" w:rsidDel="00000000" w:rsidP="00000000" w:rsidRDefault="00000000" w:rsidRPr="00000000" w14:paraId="00000062">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3">
      <w:pPr>
        <w:spacing w:after="1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 journeys in the College of Education, marked by high dropout rates, uneven retention, and various entry factors, lead to lower graduation rates, longer time to degree completion, and a shortage of qualified teachers despite intervention efforts. This research examines enrollment patterns, transfer and dropout rates, graduation rates, and primary factors influencing student attrition in the Bachelor of Elementary Education (BEED) and Bachelor of Secondary Education (BSED) programs at a prominent tertiary institution in Ozamiz City, Northwestern Mindanao, from 2013 to 2023. The respondents included current students, alumni, and academic advisors affiliated with these programs. Quantitative analysis of historical enrollment records, transfer, dropout, and graduation rates utilized descriptive statistics and documentary analysis to identify trends, patterns, and potential reasons for fluctuations in these metrics</w:t>
      </w:r>
      <w:r w:rsidDel="00000000" w:rsidR="00000000" w:rsidRPr="00000000">
        <w:rPr>
          <w:rFonts w:ascii="Times New Roman" w:cs="Times New Roman" w:eastAsia="Times New Roman" w:hAnsi="Times New Roman"/>
          <w:sz w:val="24"/>
          <w:szCs w:val="24"/>
          <w:rtl w:val="0"/>
        </w:rPr>
        <w:t xml:space="preserve">. The</w:t>
      </w:r>
      <w:r w:rsidDel="00000000" w:rsidR="00000000" w:rsidRPr="00000000">
        <w:rPr>
          <w:rFonts w:ascii="Times New Roman" w:cs="Times New Roman" w:eastAsia="Times New Roman" w:hAnsi="Times New Roman"/>
          <w:color w:val="000000"/>
          <w:sz w:val="24"/>
          <w:szCs w:val="24"/>
          <w:rtl w:val="0"/>
        </w:rPr>
        <w:t xml:space="preserve"> BEED enrollment remained relatively stable, while BSED experienced significant volatility. Both programs showed varying dropout and transfer rates with no consistent trends. </w:t>
      </w:r>
      <w:r w:rsidDel="00000000" w:rsidR="00000000" w:rsidRPr="00000000">
        <w:rPr>
          <w:rFonts w:ascii="Times New Roman" w:cs="Times New Roman" w:eastAsia="Times New Roman" w:hAnsi="Times New Roman"/>
          <w:sz w:val="24"/>
          <w:szCs w:val="24"/>
          <w:rtl w:val="0"/>
        </w:rPr>
        <w:t xml:space="preserve">Graduation rates for BEED and BSED programs fluctuated significantly. </w:t>
      </w:r>
      <w:r w:rsidDel="00000000" w:rsidR="00000000" w:rsidRPr="00000000">
        <w:rPr>
          <w:rFonts w:ascii="Times New Roman" w:cs="Times New Roman" w:eastAsia="Times New Roman" w:hAnsi="Times New Roman"/>
          <w:color w:val="000000"/>
          <w:sz w:val="24"/>
          <w:szCs w:val="24"/>
          <w:rtl w:val="0"/>
        </w:rPr>
        <w:t xml:space="preserve">Student attrition was primarily due to personal factors, with financial, administrative, and employment challenges also playing significant roles. These findings underscore the need for targeted strategies to enhance student retention and success. Fluctuations in enrollment, dropout, transfer, and graduation rates in the BEED and BSED programs from 2013 to 2023 were influenced by personal, financial, academic, and employment factors, highlighting the need for targeted interventions to enhance student retention and success. Future researchers may conduct thorough analyses of enrollment, dropout rates, student transfers, and graduation rates, implementing targeted interventions such as recruitment strategies, academic support programs, and enhanced student services to optimize educational outcomes in teacher education programs.</w:t>
      </w:r>
    </w:p>
    <w:p w:rsidR="00000000" w:rsidDel="00000000" w:rsidP="00000000" w:rsidRDefault="00000000" w:rsidRPr="00000000" w14:paraId="00000064">
      <w:pPr>
        <w:spacing w:after="1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The key concepts for this study include </w:t>
      </w:r>
      <w:r w:rsidDel="00000000" w:rsidR="00000000" w:rsidRPr="00000000">
        <w:rPr>
          <w:rFonts w:ascii="Times New Roman" w:cs="Times New Roman" w:eastAsia="Times New Roman" w:hAnsi="Times New Roman"/>
          <w:i w:val="1"/>
          <w:iCs w:val="1"/>
          <w:color w:val="000000"/>
          <w:sz w:val="24"/>
          <w:szCs w:val="24"/>
          <w:rtl w:val="0"/>
        </w:rPr>
        <w:t xml:space="preserve">enrollment patterns, dropout rates, graduation rates, and transfer rates.</w:t>
      </w:r>
    </w:p>
    <w:p w:rsidR="00000000" w:rsidDel="00000000" w:rsidP="00000000" w:rsidRDefault="00000000" w:rsidRPr="00000000" w14:paraId="00000065">
      <w:pPr>
        <w:spacing w:after="160" w:line="48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66">
      <w:pPr>
        <w:spacing w:after="160" w:line="48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67">
      <w:pPr>
        <w:spacing w:after="160" w:line="48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68">
      <w:pPr>
        <w:spacing w:after="160" w:line="48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69">
      <w:pPr>
        <w:spacing w:after="160" w:line="48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6A">
      <w:pPr>
        <w:spacing w:after="160" w:line="48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6D">
      <w:pPr>
        <w:spacing w:after="160" w:line="480" w:lineRule="auto"/>
        <w:jc w:val="cente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OF CONTENTS</w:t>
      </w:r>
      <w:r w:rsidDel="00000000" w:rsidR="00000000" w:rsidRPr="00000000">
        <w:rPr>
          <w:rtl w:val="0"/>
        </w:rPr>
      </w:r>
    </w:p>
    <w:p w:rsidR="00000000" w:rsidDel="00000000" w:rsidP="00000000" w:rsidRDefault="00000000" w:rsidRPr="00000000" w14:paraId="0000006E">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tab/>
        <w:tab/>
        <w:tab/>
        <w:tab/>
        <w:tab/>
        <w:t xml:space="preserve">             Page                           </w:t>
      </w:r>
    </w:p>
    <w:p w:rsidR="00000000" w:rsidDel="00000000" w:rsidP="00000000" w:rsidRDefault="00000000" w:rsidRPr="00000000" w14:paraId="0000006F">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TITLE</w:t>
        <w:tab/>
        <w:tab/>
        <w:tab/>
        <w:tab/>
        <w:tab/>
        <w:tab/>
        <w:tab/>
        <w:t xml:space="preserve">.</w:t>
        <w:tab/>
        <w:t xml:space="preserve">.</w:t>
        <w:tab/>
        <w:t xml:space="preserve">.</w:t>
        <w:tab/>
        <w:t xml:space="preserve">.</w:t>
        <w:tab/>
        <w:t xml:space="preserve"> .        i</w:t>
      </w:r>
    </w:p>
    <w:p w:rsidR="00000000" w:rsidDel="00000000" w:rsidP="00000000" w:rsidRDefault="00000000" w:rsidRPr="00000000" w14:paraId="00000070">
      <w:pPr>
        <w:spacing w:line="4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APPROVAL SHEET</w:t>
        <w:tab/>
        <w:tab/>
        <w:tab/>
        <w:tab/>
        <w:tab/>
        <w:t xml:space="preserve">.</w:t>
        <w:tab/>
        <w:t xml:space="preserve">.</w:t>
        <w:tab/>
        <w:t xml:space="preserve">.</w:t>
        <w:tab/>
        <w:t xml:space="preserve">.</w:t>
        <w:tab/>
        <w:t xml:space="preserve"> .       ii</w:t>
      </w:r>
    </w:p>
    <w:p w:rsidR="00000000" w:rsidDel="00000000" w:rsidP="00000000" w:rsidRDefault="00000000" w:rsidRPr="00000000" w14:paraId="00000072">
      <w:pPr>
        <w:spacing w:line="4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ACKNOWLEGMENT</w:t>
        <w:tab/>
        <w:tab/>
        <w:tab/>
        <w:tab/>
        <w:t xml:space="preserve">.</w:t>
        <w:tab/>
        <w:t xml:space="preserve">.</w:t>
        <w:tab/>
        <w:t xml:space="preserve">.</w:t>
        <w:tab/>
        <w:t xml:space="preserve">.        </w:t>
        <w:tab/>
        <w:t xml:space="preserve"> .      iii</w:t>
      </w:r>
    </w:p>
    <w:p w:rsidR="00000000" w:rsidDel="00000000" w:rsidP="00000000" w:rsidRDefault="00000000" w:rsidRPr="00000000" w14:paraId="00000074">
      <w:pPr>
        <w:spacing w:line="4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DEDICATION</w:t>
        <w:tab/>
        <w:t xml:space="preserve">   </w:t>
        <w:tab/>
        <w:tab/>
        <w:tab/>
        <w:tab/>
        <w:t xml:space="preserve">.</w:t>
        <w:tab/>
        <w:t xml:space="preserve">.</w:t>
        <w:tab/>
        <w:t xml:space="preserve">.        </w:t>
        <w:tab/>
        <w:t xml:space="preserve">.       .</w:t>
        <w:tab/>
        <w:t xml:space="preserve">        iv</w:t>
      </w:r>
    </w:p>
    <w:p w:rsidR="00000000" w:rsidDel="00000000" w:rsidP="00000000" w:rsidRDefault="00000000" w:rsidRPr="00000000" w14:paraId="00000076">
      <w:pPr>
        <w:spacing w:line="4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ABSTRACT</w:t>
        <w:tab/>
        <w:tab/>
        <w:tab/>
        <w:tab/>
        <w:tab/>
        <w:tab/>
        <w:t xml:space="preserve">.</w:t>
        <w:tab/>
        <w:t xml:space="preserve">.</w:t>
        <w:tab/>
        <w:t xml:space="preserve">.</w:t>
        <w:tab/>
        <w:t xml:space="preserve">.        </w:t>
        <w:tab/>
        <w:t xml:space="preserve">.        v</w:t>
      </w:r>
    </w:p>
    <w:p w:rsidR="00000000" w:rsidDel="00000000" w:rsidP="00000000" w:rsidRDefault="00000000" w:rsidRPr="00000000" w14:paraId="00000078">
      <w:pPr>
        <w:spacing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9">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OF CONTENTS</w:t>
        <w:tab/>
        <w:tab/>
        <w:tab/>
        <w:tab/>
        <w:t xml:space="preserve">.</w:t>
        <w:tab/>
        <w:t xml:space="preserve">.</w:t>
        <w:tab/>
        <w:t xml:space="preserve">.</w:t>
        <w:tab/>
        <w:t xml:space="preserve">.           .       vi</w:t>
      </w:r>
    </w:p>
    <w:p w:rsidR="00000000" w:rsidDel="00000000" w:rsidP="00000000" w:rsidRDefault="00000000" w:rsidRPr="00000000" w14:paraId="0000007A">
      <w:pPr>
        <w:spacing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B">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 OF FIGURE      </w:t>
        <w:tab/>
        <w:tab/>
        <w:tab/>
        <w:tab/>
        <w:t xml:space="preserve">.</w:t>
        <w:tab/>
        <w:t xml:space="preserve">.           .                             viii</w:t>
      </w:r>
    </w:p>
    <w:p w:rsidR="00000000" w:rsidDel="00000000" w:rsidP="00000000" w:rsidRDefault="00000000" w:rsidRPr="00000000" w14:paraId="0000007C">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w:t>
      </w:r>
    </w:p>
    <w:p w:rsidR="00000000" w:rsidDel="00000000" w:rsidP="00000000" w:rsidRDefault="00000000" w:rsidRPr="00000000" w14:paraId="0000007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        GENERAL INTRODUCTION</w:t>
        <w:tab/>
        <w:tab/>
        <w:t xml:space="preserve">.</w:t>
        <w:tab/>
        <w:t xml:space="preserve">.</w:t>
        <w:tab/>
        <w:t xml:space="preserve">.</w:t>
        <w:tab/>
        <w:t xml:space="preserve">.</w:t>
        <w:tab/>
        <w:t xml:space="preserve">.         1</w:t>
      </w:r>
    </w:p>
    <w:p w:rsidR="00000000" w:rsidDel="00000000" w:rsidP="00000000" w:rsidRDefault="00000000" w:rsidRPr="00000000" w14:paraId="00000080">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1">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Theoretical Framework</w:t>
        <w:tab/>
        <w:tab/>
        <w:t xml:space="preserve">.</w:t>
        <w:tab/>
        <w:t xml:space="preserve">.</w:t>
        <w:tab/>
        <w:t xml:space="preserve">.</w:t>
        <w:tab/>
        <w:t xml:space="preserve">.     </w:t>
        <w:tab/>
        <w:t xml:space="preserve">.          7  </w:t>
      </w:r>
    </w:p>
    <w:p w:rsidR="00000000" w:rsidDel="00000000" w:rsidP="00000000" w:rsidRDefault="00000000" w:rsidRPr="00000000" w14:paraId="00000082">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Conceptual Framework</w:t>
        <w:tab/>
        <w:tab/>
        <w:t xml:space="preserve">.</w:t>
        <w:tab/>
        <w:t xml:space="preserve">.</w:t>
        <w:tab/>
        <w:t xml:space="preserve">.</w:t>
        <w:tab/>
        <w:t xml:space="preserve">.</w:t>
        <w:tab/>
        <w:t xml:space="preserve">.         11</w:t>
      </w:r>
    </w:p>
    <w:p w:rsidR="00000000" w:rsidDel="00000000" w:rsidP="00000000" w:rsidRDefault="00000000" w:rsidRPr="00000000" w14:paraId="00000084">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Schematic Diagram of the Study</w:t>
        <w:tab/>
        <w:t xml:space="preserve">.</w:t>
        <w:tab/>
        <w:t xml:space="preserve">.</w:t>
        <w:tab/>
        <w:t xml:space="preserve">.</w:t>
        <w:tab/>
        <w:t xml:space="preserve">.</w:t>
        <w:tab/>
        <w:t xml:space="preserve">.         15</w:t>
      </w:r>
    </w:p>
    <w:p w:rsidR="00000000" w:rsidDel="00000000" w:rsidP="00000000" w:rsidRDefault="00000000" w:rsidRPr="00000000" w14:paraId="00000086">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7">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Objectives of the Study</w:t>
        <w:tab/>
        <w:tab/>
        <w:t xml:space="preserve">.</w:t>
        <w:tab/>
        <w:t xml:space="preserve">.</w:t>
        <w:tab/>
        <w:t xml:space="preserve">.</w:t>
        <w:tab/>
        <w:t xml:space="preserve">.</w:t>
        <w:tab/>
        <w:t xml:space="preserve">.       16</w:t>
      </w:r>
    </w:p>
    <w:p w:rsidR="00000000" w:rsidDel="00000000" w:rsidP="00000000" w:rsidRDefault="00000000" w:rsidRPr="00000000" w14:paraId="00000088">
      <w:pPr>
        <w:ind w:left="720"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ind w:left="720"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   </w:t>
        <w:tab/>
        <w:t xml:space="preserve">   METHODS</w:t>
      </w:r>
    </w:p>
    <w:p w:rsidR="00000000" w:rsidDel="00000000" w:rsidP="00000000" w:rsidRDefault="00000000" w:rsidRPr="00000000" w14:paraId="0000008C">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Research Design          </w:t>
        <w:tab/>
        <w:tab/>
        <w:t xml:space="preserve">.</w:t>
        <w:tab/>
        <w:t xml:space="preserve">.</w:t>
        <w:tab/>
        <w:t xml:space="preserve">.</w:t>
        <w:tab/>
        <w:t xml:space="preserve">.</w:t>
        <w:tab/>
        <w:t xml:space="preserve">.        17</w:t>
      </w:r>
    </w:p>
    <w:p w:rsidR="00000000" w:rsidDel="00000000" w:rsidP="00000000" w:rsidRDefault="00000000" w:rsidRPr="00000000" w14:paraId="0000008E">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Research Setting</w:t>
        <w:tab/>
        <w:tab/>
        <w:tab/>
        <w:t xml:space="preserve">.</w:t>
        <w:tab/>
        <w:t xml:space="preserve">.</w:t>
        <w:tab/>
        <w:t xml:space="preserve">.</w:t>
        <w:tab/>
        <w:t xml:space="preserve"> .</w:t>
        <w:tab/>
        <w:t xml:space="preserve">.        17</w:t>
      </w:r>
    </w:p>
    <w:p w:rsidR="00000000" w:rsidDel="00000000" w:rsidP="00000000" w:rsidRDefault="00000000" w:rsidRPr="00000000" w14:paraId="00000090">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1">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Respondents of the Study.</w:t>
        <w:tab/>
        <w:tab/>
        <w:t xml:space="preserve">.</w:t>
        <w:tab/>
        <w:t xml:space="preserve"> .          .           .            .       18   </w:t>
      </w:r>
    </w:p>
    <w:p w:rsidR="00000000" w:rsidDel="00000000" w:rsidP="00000000" w:rsidRDefault="00000000" w:rsidRPr="00000000" w14:paraId="00000092">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ab/>
        <w:t xml:space="preserve">Instruments</w:t>
        <w:tab/>
        <w:t xml:space="preserve">            </w:t>
        <w:tab/>
        <w:tab/>
        <w:t xml:space="preserve">.          .           .            .             .      19</w:t>
      </w:r>
    </w:p>
    <w:p w:rsidR="00000000" w:rsidDel="00000000" w:rsidP="00000000" w:rsidRDefault="00000000" w:rsidRPr="00000000" w14:paraId="00000094">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Data Collection</w:t>
        <w:tab/>
        <w:tab/>
        <w:tab/>
        <w:t xml:space="preserve">.</w:t>
        <w:tab/>
        <w:t xml:space="preserve"> .          .           .            .            20</w:t>
      </w:r>
    </w:p>
    <w:p w:rsidR="00000000" w:rsidDel="00000000" w:rsidP="00000000" w:rsidRDefault="00000000" w:rsidRPr="00000000" w14:paraId="00000096">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ab/>
        <w:t xml:space="preserve">Ethical Considerations</w:t>
        <w:tab/>
        <w:t xml:space="preserve"> </w:t>
        <w:tab/>
        <w:t xml:space="preserve">.</w:t>
        <w:tab/>
        <w:t xml:space="preserve">.          .           .            .        21</w:t>
      </w:r>
    </w:p>
    <w:p w:rsidR="00000000" w:rsidDel="00000000" w:rsidP="00000000" w:rsidRDefault="00000000" w:rsidRPr="00000000" w14:paraId="00000098">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9">
      <w:pP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Data Analysis</w:t>
        <w:tab/>
        <w:tab/>
        <w:tab/>
        <w:tab/>
        <w:t xml:space="preserve">.</w:t>
        <w:tab/>
        <w:t xml:space="preserve">.</w:t>
        <w:tab/>
        <w:t xml:space="preserve">.</w:t>
        <w:tab/>
        <w:t xml:space="preserve">. </w:t>
        <w:tab/>
        <w:t xml:space="preserve">.        21</w:t>
      </w:r>
    </w:p>
    <w:p w:rsidR="00000000" w:rsidDel="00000000" w:rsidP="00000000" w:rsidRDefault="00000000" w:rsidRPr="00000000" w14:paraId="0000009A">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w:t>
        <w:tab/>
        <w:t xml:space="preserve">RESULTS AND DISCUSSION</w:t>
      </w:r>
    </w:p>
    <w:p w:rsidR="00000000" w:rsidDel="00000000" w:rsidP="00000000" w:rsidRDefault="00000000" w:rsidRPr="00000000" w14:paraId="0000009C">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Pattern of Student Entries       </w:t>
        <w:tab/>
        <w:t xml:space="preserve">.          .</w:t>
        <w:tab/>
        <w:t xml:space="preserve">.</w:t>
        <w:tab/>
        <w:t xml:space="preserve">.</w:t>
        <w:tab/>
        <w:t xml:space="preserve">.       23</w:t>
      </w:r>
    </w:p>
    <w:p w:rsidR="00000000" w:rsidDel="00000000" w:rsidP="00000000" w:rsidRDefault="00000000" w:rsidRPr="00000000" w14:paraId="0000009E">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Dropout Rates            </w:t>
        <w:tab/>
        <w:tab/>
        <w:tab/>
        <w:t xml:space="preserve">.</w:t>
        <w:tab/>
        <w:t xml:space="preserve">.</w:t>
        <w:tab/>
        <w:t xml:space="preserve">.</w:t>
        <w:tab/>
        <w:t xml:space="preserve">.</w:t>
        <w:tab/>
        <w:t xml:space="preserve">.        25</w:t>
      </w:r>
    </w:p>
    <w:p w:rsidR="00000000" w:rsidDel="00000000" w:rsidP="00000000" w:rsidRDefault="00000000" w:rsidRPr="00000000" w14:paraId="000000A0">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Transfer Rates                   </w:t>
        <w:tab/>
        <w:tab/>
        <w:t xml:space="preserve">.</w:t>
        <w:tab/>
        <w:t xml:space="preserve">.</w:t>
        <w:tab/>
        <w:t xml:space="preserve">.</w:t>
        <w:tab/>
        <w:t xml:space="preserve">.</w:t>
        <w:tab/>
        <w:t xml:space="preserve">.         27</w:t>
      </w:r>
    </w:p>
    <w:p w:rsidR="00000000" w:rsidDel="00000000" w:rsidP="00000000" w:rsidRDefault="00000000" w:rsidRPr="00000000" w14:paraId="000000A2">
      <w:pP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3">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Graduation Rates                                </w:t>
        <w:tab/>
        <w:t xml:space="preserve">.</w:t>
        <w:tab/>
        <w:t xml:space="preserve">.</w:t>
        <w:tab/>
        <w:t xml:space="preserve">.</w:t>
        <w:tab/>
        <w:t xml:space="preserve">.</w:t>
        <w:tab/>
        <w:t xml:space="preserve">        29</w:t>
        <w:tab/>
        <w:tab/>
        <w:tab/>
        <w:t xml:space="preserve"> </w:t>
      </w:r>
    </w:p>
    <w:p w:rsidR="00000000" w:rsidDel="00000000" w:rsidP="00000000" w:rsidRDefault="00000000" w:rsidRPr="00000000" w14:paraId="000000A4">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Primary Factors or Reasons </w:t>
      </w:r>
    </w:p>
    <w:p w:rsidR="00000000" w:rsidDel="00000000" w:rsidP="00000000" w:rsidRDefault="00000000" w:rsidRPr="00000000" w14:paraId="000000A5">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Contributing to Student </w:t>
      </w:r>
    </w:p>
    <w:p w:rsidR="00000000" w:rsidDel="00000000" w:rsidP="00000000" w:rsidRDefault="00000000" w:rsidRPr="00000000" w14:paraId="000000A6">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Transfer and Dropouts</w:t>
        <w:tab/>
        <w:tab/>
        <w:t xml:space="preserve">.</w:t>
        <w:tab/>
        <w:t xml:space="preserve">.</w:t>
        <w:tab/>
        <w:t xml:space="preserve">.</w:t>
        <w:tab/>
        <w:t xml:space="preserve">.</w:t>
        <w:tab/>
        <w:t xml:space="preserve">.       34</w:t>
      </w:r>
    </w:p>
    <w:p w:rsidR="00000000" w:rsidDel="00000000" w:rsidP="00000000" w:rsidRDefault="00000000" w:rsidRPr="00000000" w14:paraId="000000A7">
      <w:pP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SUMMARY, FINDINGS, CONCLUSIONS AND RECOMMENDATIONS            40</w:t>
      </w:r>
    </w:p>
    <w:p w:rsidR="00000000" w:rsidDel="00000000" w:rsidP="00000000" w:rsidRDefault="00000000" w:rsidRPr="00000000" w14:paraId="000000A9">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ab/>
        <w:t xml:space="preserve">REFERENCES</w:t>
        <w:tab/>
        <w:tab/>
        <w:tab/>
        <w:t xml:space="preserve">.</w:t>
        <w:tab/>
        <w:t xml:space="preserve">.</w:t>
        <w:tab/>
        <w:t xml:space="preserve">.</w:t>
        <w:tab/>
        <w:t xml:space="preserve">. </w:t>
        <w:tab/>
        <w:t xml:space="preserve">  .      45</w:t>
      </w:r>
    </w:p>
    <w:p w:rsidR="00000000" w:rsidDel="00000000" w:rsidP="00000000" w:rsidRDefault="00000000" w:rsidRPr="00000000" w14:paraId="000000AB">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ind w:left="72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CURRICULUM VITAE </w:t>
        <w:tab/>
        <w:tab/>
        <w:t xml:space="preserve">.</w:t>
        <w:tab/>
        <w:t xml:space="preserve">.</w:t>
        <w:tab/>
        <w:t xml:space="preserve">.</w:t>
        <w:tab/>
        <w:t xml:space="preserve">.</w:t>
        <w:tab/>
        <w:t xml:space="preserve">.        50</w:t>
      </w:r>
    </w:p>
    <w:p w:rsidR="00000000" w:rsidDel="00000000" w:rsidP="00000000" w:rsidRDefault="00000000" w:rsidRPr="00000000" w14:paraId="000000AD">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shd w:fill="ffffff" w:val="clear"/>
        <w:spacing w:line="480" w:lineRule="auto"/>
        <w:ind w:left="360" w:firstLine="36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shd w:fill="ffffff" w:val="clear"/>
        <w:spacing w:line="480" w:lineRule="auto"/>
        <w:ind w:left="360" w:firstLine="36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0">
      <w:pPr>
        <w:shd w:fill="ffffff" w:val="clear"/>
        <w:spacing w:line="480" w:lineRule="auto"/>
        <w:ind w:left="360" w:firstLine="36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LIST OF FIGURE</w:t>
      </w:r>
    </w:p>
    <w:p w:rsidR="00000000" w:rsidDel="00000000" w:rsidP="00000000" w:rsidRDefault="00000000" w:rsidRPr="00000000" w14:paraId="000000B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Figure</w:t>
        <w:tab/>
        <w:tab/>
        <w:tab/>
        <w:tab/>
        <w:tab/>
        <w:tab/>
        <w:tab/>
        <w:tab/>
        <w:tab/>
        <w:t xml:space="preserve"> </w:t>
        <w:tab/>
        <w:tab/>
        <w:t xml:space="preserve">   Page</w:t>
      </w:r>
    </w:p>
    <w:p w:rsidR="00000000" w:rsidDel="00000000" w:rsidP="00000000" w:rsidRDefault="00000000" w:rsidRPr="00000000" w14:paraId="000000B8">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Patterns of Student Entries in BEED &amp; BSED         .</w:t>
        <w:tab/>
        <w:tab/>
        <w:t xml:space="preserve">.</w:t>
        <w:tab/>
        <w:t xml:space="preserve">.    25</w:t>
      </w:r>
    </w:p>
    <w:p w:rsidR="00000000" w:rsidDel="00000000" w:rsidP="00000000" w:rsidRDefault="00000000" w:rsidRPr="00000000" w14:paraId="000000BA">
      <w:pPr>
        <w:tabs>
          <w:tab w:val="left" w:leader="none" w:pos="6136"/>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Dropout Rates in BEED &amp; BSED                </w:t>
        <w:tab/>
        <w:tab/>
        <w:t xml:space="preserve">.</w:t>
        <w:tab/>
        <w:t xml:space="preserve">.</w:t>
        <w:tab/>
        <w:t xml:space="preserve">.    27</w:t>
      </w:r>
    </w:p>
    <w:p w:rsidR="00000000" w:rsidDel="00000000" w:rsidP="00000000" w:rsidRDefault="00000000" w:rsidRPr="00000000" w14:paraId="000000BC">
      <w:pP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Transfer Rates in BEED &amp; BSED</w:t>
        <w:tab/>
        <w:tab/>
        <w:tab/>
        <w:t xml:space="preserve">.</w:t>
        <w:tab/>
        <w:t xml:space="preserve">.</w:t>
        <w:tab/>
        <w:t xml:space="preserve"> .    29</w:t>
      </w:r>
    </w:p>
    <w:p w:rsidR="00000000" w:rsidDel="00000000" w:rsidP="00000000" w:rsidRDefault="00000000" w:rsidRPr="00000000" w14:paraId="000000BE">
      <w:pP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Graduation Rates in BEED</w:t>
        <w:tab/>
        <w:tab/>
        <w:tab/>
        <w:tab/>
        <w:t xml:space="preserve">.</w:t>
        <w:tab/>
        <w:t xml:space="preserve">.</w:t>
        <w:tab/>
        <w:t xml:space="preserve"> .    33</w:t>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Graduation Rates in BSED    </w:t>
        <w:tab/>
        <w:tab/>
        <w:tab/>
        <w:tab/>
        <w:t xml:space="preserve">.</w:t>
        <w:tab/>
        <w:t xml:space="preserve">.</w:t>
        <w:tab/>
        <w:t xml:space="preserve">.     34</w:t>
      </w:r>
    </w:p>
    <w:p w:rsidR="00000000" w:rsidDel="00000000" w:rsidP="00000000" w:rsidRDefault="00000000" w:rsidRPr="00000000" w14:paraId="000000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Primary factors or reasons contributing to students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 transfers and dropouts among students enrolled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at College of Education from 2013 to 2023 </w:t>
        <w:tab/>
        <w:tab/>
        <w:t xml:space="preserve">.</w:t>
        <w:tab/>
        <w:t xml:space="preserve"> .</w:t>
        <w:tab/>
        <w:t xml:space="preserve">.    38</w:t>
      </w:r>
    </w:p>
    <w:p w:rsidR="00000000" w:rsidDel="00000000" w:rsidP="00000000" w:rsidRDefault="00000000" w:rsidRPr="00000000" w14:paraId="000000C4">
      <w:pPr>
        <w:spacing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color w:val="1c1f23"/>
          <w:sz w:val="24"/>
          <w:szCs w:val="24"/>
          <w:highlight w:val="white"/>
        </w:rPr>
      </w:pPr>
      <w:r w:rsidDel="00000000" w:rsidR="00000000" w:rsidRPr="00000000">
        <w:rPr>
          <w:rFonts w:ascii="Times New Roman" w:cs="Times New Roman" w:eastAsia="Times New Roman" w:hAnsi="Times New Roman"/>
          <w:color w:val="1c1f23"/>
          <w:sz w:val="24"/>
          <w:szCs w:val="24"/>
          <w:highlight w:val="white"/>
          <w:rtl w:val="0"/>
        </w:rPr>
        <w:t xml:space="preserve">Chapter 1</w:t>
      </w:r>
    </w:p>
    <w:p w:rsidR="00000000" w:rsidDel="00000000" w:rsidP="00000000" w:rsidRDefault="00000000" w:rsidRPr="00000000" w14:paraId="000000DB">
      <w:pPr>
        <w:jc w:val="cente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color w:val="1c1f23"/>
          <w:sz w:val="24"/>
          <w:szCs w:val="24"/>
          <w:highlight w:val="white"/>
        </w:rPr>
      </w:pPr>
      <w:r w:rsidDel="00000000" w:rsidR="00000000" w:rsidRPr="00000000">
        <w:rPr>
          <w:rtl w:val="0"/>
        </w:rPr>
      </w:r>
    </w:p>
    <w:p w:rsidR="00000000" w:rsidDel="00000000" w:rsidP="00000000" w:rsidRDefault="00000000" w:rsidRPr="00000000" w14:paraId="000000DD">
      <w:pPr>
        <w:jc w:val="center"/>
        <w:rPr>
          <w:rFonts w:ascii="Times New Roman" w:cs="Times New Roman" w:eastAsia="Times New Roman" w:hAnsi="Times New Roman"/>
          <w:b w:val="1"/>
          <w:bCs w:val="1"/>
          <w:color w:val="1c1f23"/>
          <w:sz w:val="24"/>
          <w:szCs w:val="24"/>
          <w:highlight w:val="white"/>
        </w:rPr>
      </w:pPr>
      <w:r w:rsidDel="00000000" w:rsidR="00000000" w:rsidRPr="00000000">
        <w:rPr>
          <w:rFonts w:ascii="Times New Roman" w:cs="Times New Roman" w:eastAsia="Times New Roman" w:hAnsi="Times New Roman"/>
          <w:b w:val="1"/>
          <w:bCs w:val="1"/>
          <w:color w:val="1c1f23"/>
          <w:sz w:val="24"/>
          <w:szCs w:val="24"/>
          <w:highlight w:val="white"/>
          <w:rtl w:val="0"/>
        </w:rPr>
        <w:t xml:space="preserve">INTRODUCTION</w:t>
      </w:r>
    </w:p>
    <w:p w:rsidR="00000000" w:rsidDel="00000000" w:rsidP="00000000" w:rsidRDefault="00000000" w:rsidRPr="00000000" w14:paraId="000000DE">
      <w:pPr>
        <w:jc w:val="center"/>
        <w:rPr>
          <w:rFonts w:ascii="Times New Roman" w:cs="Times New Roman" w:eastAsia="Times New Roman" w:hAnsi="Times New Roman"/>
          <w:b w:val="1"/>
          <w:bCs w:val="1"/>
          <w:color w:val="1c1f23"/>
          <w:sz w:val="24"/>
          <w:szCs w:val="24"/>
          <w:highlight w:val="white"/>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b w:val="1"/>
          <w:bCs w:val="1"/>
          <w:color w:val="1c1f23"/>
          <w:sz w:val="24"/>
          <w:szCs w:val="24"/>
          <w:highlight w:val="whit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Even though schools try hard to improve student results, it is still hard to understand and manage entry, retention, and attrition pathways. High dropout rates, uneven retention, and various factors affecting Entry into the College of Education remain big issues, causing lower graduation rates, longer time to finish degrees, and fewer qualified teachers. Influencing factors include academic performance and major choices (Yue &amp; Fu, 2017), financial difficulties and family responsibilities (Nieuwoudt &amp; Pedler, 2023), and high school GPA and test scores (Bansiong &amp; Balagtey, 2020). Also, problems faced by underrepresented students and those in STEM fields make these pathways even more complicated (Dwyer et al., 2020). This study aims to find useful insights by looking at these patterns closely to help schools create better strategies to improve student success and retention and prepare future teachers effectively.</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is important for several reasons. Understanding the complex paths students take in the College of Education can help improve their success and make schools more effective. High dropout rates and uneven retention can lead to fewer students graduating on time and fewer qualified teachers, which hurts education quality for future generations (Yue &amp; Fu, 2017). This study fills important gaps in existing research by focusing on the unique challenges faced by students in the College of Education, especially those from underrepresented backgrounds or those studying STEM fields ( Bartanen &amp; Kwok, 2023). It provides useful insights that schools can use to develop better strategies to help students succeed. The findings will help create better policies and practices to improve student retention and reduce dropout rates, which is especially important for policymakers and school leaders who need to address teacher shortages and ensure there are enough qualified educators (Castro et al., 2018).</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Additionally, this research can help improve admission practices by showing the importance of academic performance, high school GPA, and standardized test scores in predicting college success (Bansiong &amp; Balagtey, 2020). It highlights the need for support systems to help students with financial difficulties, family commitments, and other challenges (Nieuwoudt &amp; Pedler, 2023). Ultimately, this study aims to improve strategies for assisting students to succeed and stay in school, contributing to the preparation of future teachers and ensuring a strong supply of qualified teachers for K-12 education (Bartanen &amp; Kwok, 2023). It will benefit the College of Education and have a positive impact on education as a whole.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Concerns about graduation and time to finish a degree are significant in contemporary higher education. Academic performance is the most crucial factor for graduation and timely degree completion, with students' major decisions, such as choosing double majors or minors, following closely behind. Pre-college characteristics play a minor role once students' academic performance and major decisions are accounted for (Yue &amp; Fu, 2017). A significant number of participants had contemplated abandoning their university studies before completion. Various factors, including family commitments, financial difficulties, time management, anticipated study workload, and work commitments, influenced students' considerations to abandon their studies. These challenges highlight the importance of providing support systems for students to manage these pressures (Nieuwoudt &amp; Pedler, 2023). High school GPA and standardized test scores are predictors of college performance for teacher education graduates. These metrics are significantly correlated with college GPA and licensure examination ratings, suggesting their use in the admission process to predict student success in teacher education programs. This finding underscores the importance of academic readiness in ensuring teacher candidates' future success (Bansiong &amp; Balagtey, 2020).</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Early college programs benefit students from low-income and minority backgrounds, but for English learners (ELs), they increase college credits without significantly affecting immediate college attendance and reduce the likelihood of attending a 4-year college, indicating a need for additional support (Johnson &amp; Mercado-Garcia, 2022). Teacher shortages vary across regions and states, necessitating targeted policies (Castro et al., 2018). A decline in interest in teaching from 2009 to 2020 at a Texas university highlighted the underrepresentation of students of color, men, and those with higher SAT scores in education programs (Bartanen &amp; Kwok, 2023). At the United States Air Force Academy, despite strong preparation, 36.4% of students intending to major in STEM switched to non-STEM degrees; persistence was predicted by initial intention, motivation, and performance in prerequisites (Dwyer et al., 2020). In radiologic technology programs, GPA significantly influences success, guiding program directors in enhancing completion rates (Smith et al., 2023). At Shehu Shagari College of Education in Nigeria, no significant relationship was found between entry qualifications and academic performance, suggesting the need for broader support strategies (Hussaini et al., 2022). Selecting an undergraduate institution in the U.S. involves various factors, with institutions offering courses like remedial math and diversity studies to boost success and retention (Lei &amp; Lei, 2019).</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Reducing student attrition should be a primary university objective, as intelligence, attention, and motivational strategies significantly impact academic performance (Gallego et al., 2021). Timely graduation relies on institutional support and students' self-management skills (Sidhu et al., 2023). Student withdrawal is influenced by complex interactions among the educational system, institutional, and personal factors, necessitating further research (Behr et al., 2020). Meanwhile, high school GPA and standardized test scores predict college performance for teacher education graduates (Bansiong &amp; Balagtey, 2020). The impact of teaching-oriented, tenure-track faculty on student outcomes remains inconclusive (Xu &amp; Solanki, 2020). Also social relationships are crucial for first-generation engineering students, with support from networks significantly aiding persistence and decision-making (Martin et al., 2020).</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Factors like self-reported freshman grades, high school GPA, metropolitan background, and college satisfaction are linked to higher six-year graduation rates, while dissatisfaction with advising and Pell grant eligibility correlate with lower rates (Shoulders et al., 2020). Supportive learning environments positively impact achievement, attendance, and graduation rates, emphasizing their importance in schools (Schweig et al., 2019). Higher education correlates with better mental health but can affect physical health negatively, particularly in disadvantaged minorities, highlighting the need for targeted interventions (Gaydosh et al., 2018). Machine learning can help universities predict enrollment and dropout risks, aiding retention strategies (Shilbayeh &amp; Abonamah, 2021). Understanding online students' challenges, like social isolation, is key to improving retention in online programs (Canty et al., 2020). In Saudi higher education, low academic abilities and institutional factors contribute to attrition, necessitating effective solutions (Ashour et al., 2020). Social interaction and engagement are crucial for retention, influencing dropout and transfer decisions (Burke et al., 2019). Identifying specific variables affecting retention and graduation is essential for informed institutional decisions (Swail et al., 2012).</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 study on first-generation students, it was found that they are more likely to drop out entirely than transfer, with a stronger sense of belonging, reducing transfer likelihood within four years (Ishitani &amp; Kamer, 2022). At Swinburne University, an analysis of an online Marketing Major program identified multiple dropout reasons and intervention areas, recommending a strategic framework for student-informed interventions (Greenland &amp; Moore, 2022). Transfer students at a land grant university brought in significantly more credits than first-year students, especially those from smaller high schools. Students moving from 2-year to 4-year institutions highlighted the importance of structured pathways, clear academic advising, and articulation agreements for successful transitions (Gonzalez et al., 2019).</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nzsmoi23ogml"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Dropout in higher education globally is influenced by personal economic circumstances, academic satisfaction, performance, and family economics, necessitating further research (Long &amp; Noor, 2023). Prolonged graduation times increase financial burdens and diploma costs and strain university resources due to learning abilities, time management, and financial difficulties (Jumadi et al., 2020). Predicting dropout is crucial for mitigating its impact on learning and costs (Del Bonifro et al., 2020). First-generation students are more likely to leave education entirely, with a stronger sense of belonging, reducing transfer likelihood within four years (Ishitani &amp; Kamer, 2022). MOOC dropout is influenced by academic skills, course design, feedback, and social support, necessitating institutional attention (Aldowah et al., 2020). Insufficient technology access and support services hinder adult learner persistence, advocating for dedicated centers and increased support (Brown et al., 2020). Understanding course withdrawal factors like Late Course Withdrawal policies can aid in identifying at-risk students and implementing preventive measures (Author, Year). Completing orientation and engaging with instructors predict online course persistence, underscoring support service and communication importance (Hart et al., 2012).</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appears to be an empirical gap in the prior research. There is a lack of rigorous research for the previous literature (Smith et al., 2023). Some of these unexplored variables, such as transfer behaviors and demographic influences on attrition, are important and worthy of investigation in the context of understanding student pathways within the College of Education (Ishitani &amp; Kamer, 2022). An empirical investigation of these issues is important because it can provide evidence-based insights into the factors affecting student persistence and success, informing targeted interventions and policies to support student retention and academic achievement (Gonzalez et al., 2019). Furthermore, previous research has focused primarily on qualitative research concerning theoretical frameworks and factors influencing student pathways (Caballero et al., 2020). The impact of transfer behaviors on student retention in the College of Education has not yet been directly examined empirically in any study (Brown et al., 2020). Very little empirical research has been done on demographic influences on dropout rates among College of Education students. [Miles, 2017].</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Hence, the study focuses on the timeframe from 2013 to 2023 at Misamis University to investigate the journey of students within the College of Education. We aim to comprehend how students navigate through their academic paths, focusing on entry points, retention dynamics, and attrition patterns during this specific period. It is important to acknowledge certain limitations. The study is bounded by the specific context of the College of Education and may not fully capture broader university-wide trends. Generalizing findings beyond the College should be approached cautiously. Additionally, while we strive to explore various factors influencing student pathways, the study's depth may be constrained by the available data. Despite these limitations, our research aims to provide valuable insights into the unique dynamics of student trajectories within the College of Education at Misamis University, offering practical implications for enhancing entry processes, improving retention strategies, and mitigating attrition.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spacing w:after="20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Framework</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integrates three foundational theories to analyze the factors influencing student retention and success: Social-Cultural Capital Theory (Bourdieu, 1977), Academic Engagement and Persistence Theory (Tinto, 1982), and Ecological Systems Theory (Bronfenbrenner, 1979). Bourdieu's Social-Cultural Capital Theory emphasizes how students' social and cultural backgrounds, including socioeconomic status and family support, shape their educational experiences and outcomes. This theory highlights the pivotal role of social and cultural resources in either facilitating or hindering academic success. Building on this, Tinto's Academic Engagement and Persistence Theory focuses on the importance of student engagement and the various institutional and personal factors that influence persistence in educational settings. Lastly, Bronfenbrenner's Ecological Systems Theory offers a comprehensive framework for understanding how multiple environmental systems interact to impact student development and educational trajectories. Together, these theories provide a robust framework for examining the complex interplay of factors that affect student retention and success in higher education.</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Social-Cultural Capital Theory, developed by Pierre Bourdieu in 1977, posits that students' educational experiences and outcomes are profoundly shaped by their social and cultural backgrounds. Bourdieu argues that social capital, which encompasses the networks of relationships and connections that individuals can draw upon, and cultural capital, which includes cultural knowledge, skills, education, and any advantages a person has that give them a higher status in society, are critical determinants of academic success. For instance, students from higher socioeconomic backgrounds typically have greater access to resources such as books, educational materials, and extracurricular activities, as well as support systems that can help them navigate the educational landscape more effectively. This access to resources can provide significant advantages in academic performance and persistence. Conversely, students lacking these forms of capital may find themselves at a disadvantage, potentially facing barriers that hinder their educational progress and outcomes. Therefore, Bourdieu's theory underscores the importance of addressing social and cultural inequalities to promote equitable educational opportunities and outcomes for all students.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Bourdieu's Social-Cultural Capital Theory is highly relevant to the study "Exploring Students’ Pathways in the College of Education: Entry, Retention, and Attrition Patterns" as it provides a framework for understanding how students' backgrounds influence their educational journeys. By examining the socioeconomic status and family support systems of students, this theory helps identify the social and cultural resources that impact their Entry into College, persistence through their studies, and the factors leading to attrition. Understanding these dynamics is crucial for developing targeted interventions to support students from diverse backgrounds, ultimately aiming to enhance retention rates and reduce dropout rates by addressing the underlying social and cultural inequities that affect academic success.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Tinto's Academic Engagement and Persistence Theory emphasizes that student persistence in educational settings is primarily influenced by the level of student engagement and the interaction between students and their academic and social environments. According to Tinto, students are more likely to persist and succeed when they feel a sense of belonging and integration within their institution. This integration occurs through both academic engagement, such as participation in classes and commitment to academic goals, and social engagement, which involves forming meaningful relationships with peers and faculty. Tinto argues that institutional factors, like supportive learning environments, effective advising, and extracurricular activities, play a critical role in fostering this engagement. Personal factors, including a student’s background, motivation, and prior academic experiences, also significantly impact their persistence. By focusing on enhancing both academic and social integration, Tinto’s theory provides a comprehensive approach to understanding and improving student retention and success.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Tinto's Academic Engagement and Persistence Theory is highly relevant to the study "Exploring Students’ Pathways in the College of Education: Entry, Retention, and Attrition Patterns" as it underscores the critical role of student engagement in influencing persistence and success in educational settings. By examining Entry, retention, and attrition patterns, the study can identify how institutional factors such as supportive learning environments, effective advising, and extracurricular activities impact student engagement and integration. Additionally, the research can explore personal factors like students' backgrounds, motivations, and prior academic experiences to understand how they affect persistence. Applying Tinto's theory helps to reveal the underlying dynamics of why students stay or leave the program, providing valuable insights for developing strategies to enhance engagement, improve retention rates, and reduce attrition within the College of Education.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Bronfenbrenner's Ecological Systems Theory provides a comprehensive framework for understanding human development by examining the multiple layers of environmental systems that interact and influence an individual's growth over time. According to Bronfenbrenner, development occurs within a complex system of relationships affected by various levels of the surrounding environment, from immediate settings such as family and school (microsystem) to broader societal influences like culture and policies (macrosystem). The theory is organized into five interrelated systems: the microsystem, mesosystem, exosystem, macrosystem, and chronosystem. Each layer has a unique impact on development, with interactions between these layers being critical to understanding how individuals navigate their educational pathways. The microsystem involves direct interactions with family, peers, and teachers, while the mesosystem encompasses connections between these immediate environments. The exosystem includes external settings that indirectly affect the individual, such as parents' workplaces. The microsystem consists of broader cultural values and societal norms. Finally, the chronosystem reflects the dimension of time, considering life transitions and historical events. Bronfenbrenner's theory emphasizes that to fully understand student development and educational outcomes, it is essential to consider the dynamic interplay of these multiple environmental contexts.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Bronfenbrenner's Ecological Systems Theory is highly relevant to the study "Exploring Students’ Pathways in the College of Education: Entry, Retention, and Attrition Patterns" as it provides a framework to examine how various environmental factors interact and impact students' educational experiences. By considering the microsystem, mesosystem, exosystem, macrosystem, and chronosystem, the study can analyze how immediate influences such as family support, peer relationships, and teacher interactions (microsystem) connect with broader institutional policies, community resources (exosystem), and societal norms (macrosystem) to shape student entry, retention, and attrition. Additionally, the chronosystem allows for an understanding of how changes over time, such as economic shifts or educational reforms, influence student pathways. This comprehensive approach helps identify the multifaceted factors contributing to students' success or challenges within the College of Education.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pxjed4h13836" w:id="3"/>
      <w:bookmarkEnd w:id="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Conceptual Framework</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Understanding student pathways is essential for enhancing academic outcomes and institutional effectiveness in contemporary higher education. This study examines the Bachelor of Elementary Education (BEED) and Bachelor of Secondary Education (BSED) programs at the College of Education, focusing on Entry, retention, and attrition patterns from 2013 to 2023.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Entry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typically refers to a group of students who enter or start their studies at the same time, usually at the beginning of an academic year or semester. The component of Entry includes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enrollment data.</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Enrollment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data is crucial for educational institutions to understand their student population, plan for resource allocation, forecast budgets, and make informed decisions about academic program offerings, student support services, and overall institutional strategy. This data is regularly collected and analyzed by registrars, admissions offices, and institutional research departments to monitor enrollment trends and identify areas for improvement or expansion. This information could be used to evaluate program effectiveness, assist in developing award allocation strategies, and create a historical benchmark for future assessment projects or program evaluations (Turner &amp; Wiedmann, 2021).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Retention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refers to the percentage of students who continue their studies at the same institution or complete their degree program over a specified period, typically measured annually. Graduation rates are a component of attrition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Graduation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rates refer to the percentage of students who complete their degree program within a specified timeframe, typically 4 or 6 years for undergraduate programs. Graduating on time involves completing studies within the specified timeframe, with institutional, motivational, student, and supervisory factors influencing this achievement (Sidhu et al., 2023). Graduation rates serve as crucial metrics of student success, representing the percentage of a school's first-time, first-year college students who continue their studies the following year  (Zhang &amp; Koshmanova, 2020).</w:t>
      </w:r>
    </w:p>
    <w:p w:rsidR="00000000" w:rsidDel="00000000" w:rsidP="00000000" w:rsidRDefault="00000000" w:rsidRPr="00000000" w14:paraId="000000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Attrition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refers to the rate at which students leave their studies or drop out of their degree programs before completing them, often due to various reasons such as academic challenges, personal issues, or financial constraints. The components of attrition include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transfer and dropouts.</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Transfer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an educational context refers to the process of moving from one educational institution to another, typically with the intention of continuing studies and pursuing a degree program. Students may transfer from a community college to a four-year university, from one university to another, or between different programs within the same institution. After transferring from a community college to a 4-year institution, transfer students (in particular, underrepresented minorities and women) face several obstacles to completing their undergraduate degrees, including difficulty transitioning to a new campus, a lack of social support, higher levels of nonacademic commitments, and financial concerns ( Chamely-Wiik et al., 2021). </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Dropouts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refer to students who leave an educational program before completing it without transferring to another institution or graduating. The term is commonly used to describe individuals who discontinue their studies for various reasons, such as academic challenges, personal circumstances, financial difficulties, lack of support, or disengagement with the educational system. Dropout among students poses a significant challenge in higher education across various countries, with profound negative consequences for individuals, universities, and socioeconomic conditions. The most impactful factors include personal economic circumstances, academic satisfaction, academic performance, and family economics. (Long &amp; Noor, 2023). Most student dropouts in MOOCs result from factors beyond the institution's control. Six primary factors directly influencing MOOC student dropout include academic skills, prior experience, course design, feedback, social presence, and social support. Additional factors like interaction, course difficulty, time commitment, motivation, and family/work circumstances play a secondary role (Aldowah et al., 2020).</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207963</wp:posOffset>
                </wp:positionH>
                <wp:positionV relativeFrom="paragraph">
                  <wp:posOffset>32703</wp:posOffset>
                </wp:positionV>
                <wp:extent cx="2221230" cy="2097405"/>
                <wp:effectExtent b="0" l="0" r="0" t="0"/>
                <wp:wrapNone/>
                <wp:docPr id="2121996507" name=""/>
                <a:graphic>
                  <a:graphicData uri="http://schemas.microsoft.com/office/word/2010/wordprocessingShape">
                    <wps:wsp>
                      <wps:cNvSpPr/>
                      <wps:cNvPr id="5" name="Shape 5"/>
                      <wps:spPr>
                        <a:xfrm>
                          <a:off x="4240148" y="2736060"/>
                          <a:ext cx="2211705" cy="2087880"/>
                        </a:xfrm>
                        <a:prstGeom prst="rect">
                          <a:avLst/>
                        </a:prstGeom>
                        <a:solidFill>
                          <a:schemeClr val="lt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48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Entry</w:t>
                            </w:r>
                          </w:p>
                          <w:p w:rsidR="00000000" w:rsidDel="00000000" w:rsidP="00000000" w:rsidRDefault="00000000" w:rsidRPr="00000000">
                            <w:pPr>
                              <w:spacing w:after="200" w:before="0" w:line="480"/>
                              <w:ind w:left="1080" w:right="0" w:firstLine="72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Enrollment Data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b"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207963</wp:posOffset>
                </wp:positionH>
                <wp:positionV relativeFrom="paragraph">
                  <wp:posOffset>32703</wp:posOffset>
                </wp:positionV>
                <wp:extent cx="2221230" cy="2097405"/>
                <wp:effectExtent b="0" l="0" r="0" t="0"/>
                <wp:wrapNone/>
                <wp:docPr id="212199650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221230" cy="2097405"/>
                        </a:xfrm>
                        <a:prstGeom prst="rect"/>
                        <a:ln/>
                      </pic:spPr>
                    </pic:pic>
                  </a:graphicData>
                </a:graphic>
              </wp:anchor>
            </w:drawing>
          </mc:Fallback>
        </mc:AlternateContent>
      </w:r>
    </w:p>
    <w:p w:rsidR="00000000" w:rsidDel="00000000" w:rsidP="00000000" w:rsidRDefault="00000000" w:rsidRPr="00000000" w14:paraId="00000113">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4">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5">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2415639</wp:posOffset>
                </wp:positionH>
                <wp:positionV relativeFrom="paragraph">
                  <wp:posOffset>95753</wp:posOffset>
                </wp:positionV>
                <wp:extent cx="0" cy="12700"/>
                <wp:effectExtent b="0" l="0" r="0" t="0"/>
                <wp:wrapNone/>
                <wp:docPr id="2121996505" name=""/>
                <a:graphic>
                  <a:graphicData uri="http://schemas.microsoft.com/office/word/2010/wordprocessingShape">
                    <wps:wsp>
                      <wps:cNvCnPr/>
                      <wps:spPr>
                        <a:xfrm>
                          <a:off x="5020245" y="3780000"/>
                          <a:ext cx="65151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2415639</wp:posOffset>
                </wp:positionH>
                <wp:positionV relativeFrom="paragraph">
                  <wp:posOffset>95753</wp:posOffset>
                </wp:positionV>
                <wp:extent cx="0" cy="12700"/>
                <wp:effectExtent b="0" l="0" r="0" t="0"/>
                <wp:wrapNone/>
                <wp:docPr id="212199650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3040362</wp:posOffset>
                </wp:positionH>
                <wp:positionV relativeFrom="paragraph">
                  <wp:posOffset>100301</wp:posOffset>
                </wp:positionV>
                <wp:extent cx="55244" cy="4415270"/>
                <wp:effectExtent b="0" l="0" r="0" t="0"/>
                <wp:wrapNone/>
                <wp:docPr id="2121996511" name=""/>
                <a:graphic>
                  <a:graphicData uri="http://schemas.microsoft.com/office/word/2010/wordprocessingShape">
                    <wps:wsp>
                      <wps:cNvCnPr/>
                      <wps:spPr>
                        <a:xfrm flipH="1">
                          <a:off x="5323141" y="1577128"/>
                          <a:ext cx="45719" cy="440574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3040362</wp:posOffset>
                </wp:positionH>
                <wp:positionV relativeFrom="paragraph">
                  <wp:posOffset>100301</wp:posOffset>
                </wp:positionV>
                <wp:extent cx="55244" cy="4415270"/>
                <wp:effectExtent b="0" l="0" r="0" t="0"/>
                <wp:wrapNone/>
                <wp:docPr id="21219965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5244" cy="4415270"/>
                        </a:xfrm>
                        <a:prstGeom prst="rect"/>
                        <a:ln/>
                      </pic:spPr>
                    </pic:pic>
                  </a:graphicData>
                </a:graphic>
              </wp:anchor>
            </w:drawing>
          </mc:Fallback>
        </mc:AlternateContent>
      </w:r>
    </w:p>
    <w:p w:rsidR="00000000" w:rsidDel="00000000" w:rsidP="00000000" w:rsidRDefault="00000000" w:rsidRPr="00000000" w14:paraId="00000116">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7">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8">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223838</wp:posOffset>
                </wp:positionH>
                <wp:positionV relativeFrom="paragraph">
                  <wp:posOffset>11748</wp:posOffset>
                </wp:positionV>
                <wp:extent cx="2219960" cy="1990725"/>
                <wp:effectExtent b="0" l="0" r="0" t="0"/>
                <wp:wrapNone/>
                <wp:docPr id="2121996508" name=""/>
                <a:graphic>
                  <a:graphicData uri="http://schemas.microsoft.com/office/word/2010/wordprocessingShape">
                    <wps:wsp>
                      <wps:cNvSpPr/>
                      <wps:cNvPr id="6" name="Shape 6"/>
                      <wps:spPr>
                        <a:xfrm>
                          <a:off x="4240783" y="2789400"/>
                          <a:ext cx="2210435" cy="1981200"/>
                        </a:xfrm>
                        <a:prstGeom prst="rect">
                          <a:avLst/>
                        </a:prstGeom>
                        <a:solidFill>
                          <a:schemeClr val="lt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Retention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200" w:before="0" w:line="275.9999942779541"/>
                              <w:ind w:left="1080" w:right="0" w:firstLine="72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Graduation rates</w:t>
                            </w:r>
                          </w:p>
                          <w:p w:rsidR="00000000" w:rsidDel="00000000" w:rsidP="00000000" w:rsidRDefault="00000000" w:rsidRPr="00000000">
                            <w:pPr>
                              <w:spacing w:after="200" w:before="0" w:line="275.9999942779541"/>
                              <w:ind w:left="108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223838</wp:posOffset>
                </wp:positionH>
                <wp:positionV relativeFrom="paragraph">
                  <wp:posOffset>11748</wp:posOffset>
                </wp:positionV>
                <wp:extent cx="2219960" cy="1990725"/>
                <wp:effectExtent b="0" l="0" r="0" t="0"/>
                <wp:wrapNone/>
                <wp:docPr id="212199650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219960" cy="1990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3596958</wp:posOffset>
                </wp:positionH>
                <wp:positionV relativeFrom="paragraph">
                  <wp:posOffset>304928</wp:posOffset>
                </wp:positionV>
                <wp:extent cx="1875155" cy="1520825"/>
                <wp:effectExtent b="0" l="0" r="0" t="0"/>
                <wp:wrapNone/>
                <wp:docPr id="2121996512" name=""/>
                <a:graphic>
                  <a:graphicData uri="http://schemas.microsoft.com/office/word/2010/wordprocessingShape">
                    <wps:wsp>
                      <wps:cNvSpPr/>
                      <wps:cNvPr id="10" name="Shape 10"/>
                      <wps:spPr>
                        <a:xfrm>
                          <a:off x="4413185" y="3024350"/>
                          <a:ext cx="1865630" cy="151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360" w:before="0" w:line="480"/>
                              <w:ind w:left="0" w:right="0" w:firstLine="0"/>
                              <w:jc w:val="center"/>
                              <w:textDirection w:val="btLr"/>
                            </w:pPr>
                          </w:p>
                          <w:p w:rsidR="00000000" w:rsidDel="00000000" w:rsidP="00000000" w:rsidRDefault="00000000" w:rsidRPr="00000000">
                            <w:pPr>
                              <w:spacing w:after="360" w:before="0" w:line="48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Students’ Pathway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3596958</wp:posOffset>
                </wp:positionH>
                <wp:positionV relativeFrom="paragraph">
                  <wp:posOffset>304928</wp:posOffset>
                </wp:positionV>
                <wp:extent cx="1875155" cy="1520825"/>
                <wp:effectExtent b="0" l="0" r="0" t="0"/>
                <wp:wrapNone/>
                <wp:docPr id="21219965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875155" cy="1520825"/>
                        </a:xfrm>
                        <a:prstGeom prst="rect"/>
                        <a:ln/>
                      </pic:spPr>
                    </pic:pic>
                  </a:graphicData>
                </a:graphic>
              </wp:anchor>
            </w:drawing>
          </mc:Fallback>
        </mc:AlternateContent>
      </w:r>
    </w:p>
    <w:p w:rsidR="00000000" w:rsidDel="00000000" w:rsidP="00000000" w:rsidRDefault="00000000" w:rsidRPr="00000000" w14:paraId="0000011A">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B">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2400300</wp:posOffset>
                </wp:positionH>
                <wp:positionV relativeFrom="paragraph">
                  <wp:posOffset>40640</wp:posOffset>
                </wp:positionV>
                <wp:extent cx="0" cy="12700"/>
                <wp:effectExtent b="0" l="0" r="0" t="0"/>
                <wp:wrapNone/>
                <wp:docPr id="2121996506" name=""/>
                <a:graphic>
                  <a:graphicData uri="http://schemas.microsoft.com/office/word/2010/wordprocessingShape">
                    <wps:wsp>
                      <wps:cNvCnPr/>
                      <wps:spPr>
                        <a:xfrm>
                          <a:off x="5020245" y="3780000"/>
                          <a:ext cx="65151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2400300</wp:posOffset>
                </wp:positionH>
                <wp:positionV relativeFrom="paragraph">
                  <wp:posOffset>40640</wp:posOffset>
                </wp:positionV>
                <wp:extent cx="0" cy="12700"/>
                <wp:effectExtent b="0" l="0" r="0" t="0"/>
                <wp:wrapNone/>
                <wp:docPr id="212199650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3071939</wp:posOffset>
                </wp:positionH>
                <wp:positionV relativeFrom="paragraph">
                  <wp:posOffset>59055</wp:posOffset>
                </wp:positionV>
                <wp:extent cx="0" cy="25400"/>
                <wp:effectExtent b="0" l="0" r="0" t="0"/>
                <wp:wrapNone/>
                <wp:docPr id="2121996510" name=""/>
                <a:graphic>
                  <a:graphicData uri="http://schemas.microsoft.com/office/word/2010/wordprocessingShape">
                    <wps:wsp>
                      <wps:cNvCnPr/>
                      <wps:spPr>
                        <a:xfrm>
                          <a:off x="5076125" y="3780000"/>
                          <a:ext cx="539750" cy="0"/>
                        </a:xfrm>
                        <a:prstGeom prst="straightConnector1">
                          <a:avLst/>
                        </a:prstGeom>
                        <a:noFill/>
                        <a:ln cap="flat" cmpd="sng" w="1905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3071939</wp:posOffset>
                </wp:positionH>
                <wp:positionV relativeFrom="paragraph">
                  <wp:posOffset>59055</wp:posOffset>
                </wp:positionV>
                <wp:extent cx="0" cy="25400"/>
                <wp:effectExtent b="0" l="0" r="0" t="0"/>
                <wp:wrapNone/>
                <wp:docPr id="21219965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1D">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E">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F">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223838</wp:posOffset>
                </wp:positionH>
                <wp:positionV relativeFrom="paragraph">
                  <wp:posOffset>231458</wp:posOffset>
                </wp:positionV>
                <wp:extent cx="2219960" cy="2025650"/>
                <wp:effectExtent b="0" l="0" r="0" t="0"/>
                <wp:wrapNone/>
                <wp:docPr id="2121996509" name=""/>
                <a:graphic>
                  <a:graphicData uri="http://schemas.microsoft.com/office/word/2010/wordprocessingShape">
                    <wps:wsp>
                      <wps:cNvSpPr/>
                      <wps:cNvPr id="7" name="Shape 7"/>
                      <wps:spPr>
                        <a:xfrm>
                          <a:off x="4240783" y="2771938"/>
                          <a:ext cx="2210435" cy="2016125"/>
                        </a:xfrm>
                        <a:prstGeom prst="rect">
                          <a:avLst/>
                        </a:prstGeom>
                        <a:solidFill>
                          <a:schemeClr val="lt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Attrition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200" w:before="0" w:line="275.9999942779541"/>
                              <w:ind w:left="1080" w:right="0" w:firstLine="7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Dropouts Rates</w:t>
                            </w:r>
                          </w:p>
                          <w:p w:rsidR="00000000" w:rsidDel="00000000" w:rsidP="00000000" w:rsidRDefault="00000000" w:rsidRPr="00000000">
                            <w:pPr>
                              <w:spacing w:after="200" w:before="0" w:line="275.9999942779541"/>
                              <w:ind w:left="1080" w:right="0" w:firstLine="7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Transfer Rates</w:t>
                            </w:r>
                          </w:p>
                          <w:p w:rsidR="00000000" w:rsidDel="00000000" w:rsidP="00000000" w:rsidRDefault="00000000" w:rsidRPr="00000000">
                            <w:pPr>
                              <w:spacing w:after="200" w:before="0" w:line="275.9999942779541"/>
                              <w:ind w:left="7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200" w:before="0" w:line="275.9999942779541"/>
                              <w:ind w:left="7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223838</wp:posOffset>
                </wp:positionH>
                <wp:positionV relativeFrom="paragraph">
                  <wp:posOffset>231458</wp:posOffset>
                </wp:positionV>
                <wp:extent cx="2219960" cy="2025650"/>
                <wp:effectExtent b="0" l="0" r="0" t="0"/>
                <wp:wrapNone/>
                <wp:docPr id="212199650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219960" cy="2025650"/>
                        </a:xfrm>
                        <a:prstGeom prst="rect"/>
                        <a:ln/>
                      </pic:spPr>
                    </pic:pic>
                  </a:graphicData>
                </a:graphic>
              </wp:anchor>
            </w:drawing>
          </mc:Fallback>
        </mc:AlternateContent>
      </w:r>
    </w:p>
    <w:p w:rsidR="00000000" w:rsidDel="00000000" w:rsidP="00000000" w:rsidRDefault="00000000" w:rsidRPr="00000000" w14:paraId="00000120">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2">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2400300</wp:posOffset>
                </wp:positionH>
                <wp:positionV relativeFrom="paragraph">
                  <wp:posOffset>234125</wp:posOffset>
                </wp:positionV>
                <wp:extent cx="0" cy="12700"/>
                <wp:effectExtent b="0" l="0" r="0" t="0"/>
                <wp:wrapNone/>
                <wp:docPr id="2121996504" name=""/>
                <a:graphic>
                  <a:graphicData uri="http://schemas.microsoft.com/office/word/2010/wordprocessingShape">
                    <wps:wsp>
                      <wps:cNvCnPr/>
                      <wps:spPr>
                        <a:xfrm>
                          <a:off x="5020245" y="3780000"/>
                          <a:ext cx="65151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2400300</wp:posOffset>
                </wp:positionH>
                <wp:positionV relativeFrom="paragraph">
                  <wp:posOffset>234125</wp:posOffset>
                </wp:positionV>
                <wp:extent cx="0" cy="12700"/>
                <wp:effectExtent b="0" l="0" r="0" t="0"/>
                <wp:wrapNone/>
                <wp:docPr id="212199650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3">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4">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5">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7">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8">
      <w:pPr>
        <w:spacing w:after="200" w:line="276" w:lineRule="auto"/>
        <w:ind w:firstLine="72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9">
      <w:pPr>
        <w:spacing w:after="200" w:line="276" w:lineRule="auto"/>
        <w:ind w:firstLine="72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A">
      <w:pPr>
        <w:spacing w:after="200" w:line="276" w:lineRule="auto"/>
        <w:ind w:firstLine="720"/>
        <w:jc w:val="center"/>
        <w:rPr>
          <w:rFonts w:ascii="Times New Roman" w:cs="Times New Roman" w:eastAsia="Times New Roman" w:hAnsi="Times New Roman"/>
          <w:color w:val="000000"/>
          <w:sz w:val="24"/>
          <w:szCs w:val="24"/>
        </w:rPr>
      </w:pPr>
      <w:bookmarkStart w:colFirst="0" w:colLast="0" w:name="_heading=h.yqg4ehjiusm1" w:id="4"/>
      <w:bookmarkEnd w:id="4"/>
      <w:r w:rsidDel="00000000" w:rsidR="00000000" w:rsidRPr="00000000">
        <w:rPr>
          <w:rFonts w:ascii="Times New Roman" w:cs="Times New Roman" w:eastAsia="Times New Roman" w:hAnsi="Times New Roman"/>
          <w:color w:val="000000"/>
          <w:sz w:val="24"/>
          <w:szCs w:val="24"/>
          <w:rtl w:val="0"/>
        </w:rPr>
        <w:t xml:space="preserve">Figure 1. Schematic Diagram of the Study</w:t>
      </w:r>
    </w:p>
    <w:p w:rsidR="00000000" w:rsidDel="00000000" w:rsidP="00000000" w:rsidRDefault="00000000" w:rsidRPr="00000000" w14:paraId="0000012B">
      <w:pPr>
        <w:spacing w:after="20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Statement of the Problem</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aimed to investigate various aspects of student pathways within the Bachelor of Elementary Education (BEED) and Bachelor of Secondary Education (BSED) programs at the College of Education from 2013 to 2023. Specifically, it sought to answer the following questions: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6u73ht4nklu0"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What is the pattern of student entries into the Bachelor of Elementary Education (BEED) and Bachelor of Secondary Education (BSED) programs at the College of Education from 2013 to 2023?</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4o7v27vhycyh"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What are the dropout rates among students enrolled in Bachelor of Elementary Education (BEED) and Bachelor of Secondary Education (BSED) programs at the College of Education over the period from 2013 to 2023?</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What are the transfer rates among students enrolled in Bachelor of Elementary Education (BEED) and Bachelor of Secondary Education (BSED) programs at the College of Education over the period from 2013 to 2023?</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2e0gzd9z51l"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What is the successful graduation rate of students in the Bachelor of Elementary Education (BEED) and Bachelor of Secondary Education (BSED) programs at the College of Education from 2013 to 2023?</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What are the primary factors or reasons contributing to student shifts and dropouts among students enrolled in Bachelor of Elementary Education (BEED) and Bachelor of Secondary Education (BSED) programs at the College of Education from 2013 to 2023?</w:t>
      </w:r>
    </w:p>
    <w:p w:rsidR="00000000" w:rsidDel="00000000" w:rsidP="00000000" w:rsidRDefault="00000000" w:rsidRPr="00000000" w14:paraId="00000132">
      <w:pPr>
        <w:spacing w:after="200" w:line="276" w:lineRule="auto"/>
        <w:ind w:firstLine="72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3">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w:t>
      </w:r>
    </w:p>
    <w:p w:rsidR="00000000" w:rsidDel="00000000" w:rsidP="00000000" w:rsidRDefault="00000000" w:rsidRPr="00000000" w14:paraId="0000013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METHODOLOGY</w:t>
      </w:r>
    </w:p>
    <w:p w:rsidR="00000000" w:rsidDel="00000000" w:rsidP="00000000" w:rsidRDefault="00000000" w:rsidRPr="00000000" w14:paraId="0000013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B">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Design </w:t>
      </w:r>
    </w:p>
    <w:p w:rsidR="00000000" w:rsidDel="00000000" w:rsidP="00000000" w:rsidRDefault="00000000" w:rsidRPr="00000000" w14:paraId="0000013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quantitative study, a descriptive design was used to comprehensively explore student pathways within the College of Education at Misamis University from 2013 to 2023. The descriptive design was suitable for capturing the variety of student trajectories since it observed and reported on the sample's characteristics and study variables without manipulating them (Jones, 2018). Through this design, enrollment data, shift rates, dropout rates, and graduation rates were examined, providing a detailed account of the characteristics and trends within the College. The research design employed a longitudinal study approach, enabling the examination of student entry patterns, retention rates, graduation rates, and reasons for attrition within the Bachelor of Elementary Education (BEED) and Bachelor of Secondary Education (BSED) programs at the College of Education over the period from 2013 to 2023. This methodological choice was ideal as it facilitated the comprehensive analysis of how these variables evolved, offering insights into the dynamics influencing student pathways and outcomes within the educational context.</w:t>
      </w:r>
    </w:p>
    <w:p w:rsidR="00000000" w:rsidDel="00000000" w:rsidP="00000000" w:rsidRDefault="00000000" w:rsidRPr="00000000" w14:paraId="0000013D">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480" w:lineRule="auto"/>
        <w:jc w:val="both"/>
        <w:rPr>
          <w:rFonts w:ascii="Times New Roman" w:cs="Times New Roman" w:eastAsia="Times New Roman" w:hAnsi="Times New Roman"/>
          <w:b w:val="1"/>
          <w:bCs w:val="1"/>
          <w:sz w:val="24"/>
          <w:szCs w:val="24"/>
        </w:rPr>
      </w:pPr>
      <w:bookmarkStart w:colFirst="0" w:colLast="0" w:name="_heading=h.rkkis4g0j84a" w:id="8"/>
      <w:bookmarkEnd w:id="8"/>
      <w:r w:rsidDel="00000000" w:rsidR="00000000" w:rsidRPr="00000000">
        <w:rPr>
          <w:rFonts w:ascii="Times New Roman" w:cs="Times New Roman" w:eastAsia="Times New Roman" w:hAnsi="Times New Roman"/>
          <w:b w:val="1"/>
          <w:bCs w:val="1"/>
          <w:sz w:val="24"/>
          <w:szCs w:val="24"/>
          <w:rtl w:val="0"/>
        </w:rPr>
        <w:t xml:space="preserve">Research Setting </w:t>
      </w:r>
    </w:p>
    <w:p w:rsidR="00000000" w:rsidDel="00000000" w:rsidP="00000000" w:rsidRDefault="00000000" w:rsidRPr="00000000" w14:paraId="0000013F">
      <w:pPr>
        <w:spacing w:line="480" w:lineRule="auto"/>
        <w:ind w:firstLine="720"/>
        <w:jc w:val="both"/>
        <w:rPr>
          <w:rFonts w:ascii="Times New Roman" w:cs="Times New Roman" w:eastAsia="Times New Roman" w:hAnsi="Times New Roman"/>
          <w:sz w:val="24"/>
          <w:szCs w:val="24"/>
        </w:rPr>
      </w:pPr>
      <w:bookmarkStart w:colFirst="0" w:colLast="0" w:name="_heading=h.3yhw4skkojsj" w:id="9"/>
      <w:bookmarkEnd w:id="9"/>
      <w:r w:rsidDel="00000000" w:rsidR="00000000" w:rsidRPr="00000000">
        <w:rPr>
          <w:rFonts w:ascii="Times New Roman" w:cs="Times New Roman" w:eastAsia="Times New Roman" w:hAnsi="Times New Roman"/>
          <w:sz w:val="24"/>
          <w:szCs w:val="24"/>
          <w:rtl w:val="0"/>
        </w:rPr>
        <w:t xml:space="preserve">This research is conducted within a distinguished tertiary institution located in Ozamiz City, Northwestern Mindanao. The university holds the distinction of being the first university in Northwestern Mindanao to receive "Autonomous Status" from the Commission on Higher Education (CHED). With exceptional ratings for ISO 9001:2008 certification from DNV and recognition from PACUCOA for having the most accredited programs in Region X, the institution is recognized for its commitment to excellence in education. Specifically, the College of Education stands out as a Center of Development (COD), recognized by CHED for its exceptional teacher education programs. Within the College of Education, students have access to high-quality education and specialized training, preparing them for successful careers in the field of education. The research conducted within this esteemed institution aims to provide valuable insights into the factors influencing student pathways within the College of Education, contributing to the advancement of educational practices and policies.</w:t>
      </w:r>
    </w:p>
    <w:p w:rsidR="00000000" w:rsidDel="00000000" w:rsidP="00000000" w:rsidRDefault="00000000" w:rsidRPr="00000000" w14:paraId="00000140">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480" w:lineRule="auto"/>
        <w:jc w:val="both"/>
        <w:rPr>
          <w:rFonts w:ascii="Times New Roman" w:cs="Times New Roman" w:eastAsia="Times New Roman" w:hAnsi="Times New Roman"/>
          <w:b w:val="1"/>
          <w:bCs w:val="1"/>
          <w:sz w:val="24"/>
          <w:szCs w:val="24"/>
        </w:rPr>
      </w:pPr>
      <w:bookmarkStart w:colFirst="0" w:colLast="0" w:name="_heading=h.yapr4yqxx16e" w:id="10"/>
      <w:bookmarkEnd w:id="10"/>
      <w:r w:rsidDel="00000000" w:rsidR="00000000" w:rsidRPr="00000000">
        <w:rPr>
          <w:rFonts w:ascii="Times New Roman" w:cs="Times New Roman" w:eastAsia="Times New Roman" w:hAnsi="Times New Roman"/>
          <w:b w:val="1"/>
          <w:bCs w:val="1"/>
          <w:sz w:val="24"/>
          <w:szCs w:val="24"/>
          <w:rtl w:val="0"/>
        </w:rPr>
        <w:t xml:space="preserve">Respondents of the Study </w:t>
      </w:r>
    </w:p>
    <w:p w:rsidR="00000000" w:rsidDel="00000000" w:rsidP="00000000" w:rsidRDefault="00000000" w:rsidRPr="00000000" w14:paraId="00000142">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of this study included current students, alumni, and academic advisors affiliated with the Bachelor of Elementary Education (BEED) and Bachelor of Secondary Education (BSED) programs at the College of Education. Current students provided insights into their ongoing educational experiences and challenges, while alumni offered retrospective perspectives on their pathways through the programs and post-graduation outcomes. Academic advisors contributed their professional insights into factors affecting student retention and attrition within the educational framework. Together, these respondents provided a comprehensive view of student pathways, retention dynamics, and attrition patterns within the College of Education.</w:t>
      </w:r>
    </w:p>
    <w:p w:rsidR="00000000" w:rsidDel="00000000" w:rsidP="00000000" w:rsidRDefault="00000000" w:rsidRPr="00000000" w14:paraId="00000143">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480" w:lineRule="auto"/>
        <w:jc w:val="both"/>
        <w:rPr>
          <w:rFonts w:ascii="Times New Roman" w:cs="Times New Roman" w:eastAsia="Times New Roman" w:hAnsi="Times New Roman"/>
          <w:b w:val="1"/>
          <w:bCs w:val="1"/>
          <w:color w:val="000000"/>
          <w:sz w:val="24"/>
          <w:szCs w:val="24"/>
        </w:rPr>
      </w:pPr>
      <w:bookmarkStart w:colFirst="0" w:colLast="0" w:name="_heading=h.l451cbhbckdx" w:id="11"/>
      <w:bookmarkEnd w:id="11"/>
      <w:r w:rsidDel="00000000" w:rsidR="00000000" w:rsidRPr="00000000">
        <w:rPr>
          <w:rFonts w:ascii="Times New Roman" w:cs="Times New Roman" w:eastAsia="Times New Roman" w:hAnsi="Times New Roman"/>
          <w:b w:val="1"/>
          <w:bCs w:val="1"/>
          <w:color w:val="000000"/>
          <w:sz w:val="24"/>
          <w:szCs w:val="24"/>
          <w:rtl w:val="0"/>
        </w:rPr>
        <w:t xml:space="preserve">Research Instruments</w:t>
      </w:r>
    </w:p>
    <w:p w:rsidR="00000000" w:rsidDel="00000000" w:rsidP="00000000" w:rsidRDefault="00000000" w:rsidRPr="00000000" w14:paraId="00000146">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study aimed to address the research problems related to student pathways, retention, and attrition patterns within the Bachelor of Elementary Education (BEED) and Bachelor of Secondary Education (BSED) programs at the College of Education from 2013 to 2023. research instruments were employed. Quantitatively, historical enrollment records were analyzed to track annual admissions. Descriptive statistics were utilized to discern trends and patterns in student entries over the specified decade. Additionally, transfer and dropout rates were calculated from longitudinal data sourced from the College of Education's records, detailing the number of students retained annually, those transferring to other programs or institutions, and those leaving without completion. These rates were analyzed to determine percentages for retention, transfer, and dropout across the study period. Graduation rates were also quantitatively assessed, gauging the percentage of students completing their BEED and BSED programs within the designated timeframe. The primary factors or reasons contributing to students' shifts and dropouts were analyzed by determining their frequency, percentage, and rank. The researcher utilized documentary analysis to examine data related to Entry, retention, dropouts, transfers, and graduation rates within the College of Education. By scrutinizing these records, the researchers aimed to understand trends and patterns over the years. The researchers also sought to uncover potential reasons behind fluctuations in enrollment and graduation numbers, whether they decreased or increased.</w:t>
      </w:r>
    </w:p>
    <w:p w:rsidR="00000000" w:rsidDel="00000000" w:rsidP="00000000" w:rsidRDefault="00000000" w:rsidRPr="00000000" w14:paraId="00000147">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8">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9">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A">
      <w:pPr>
        <w:spacing w:line="480" w:lineRule="auto"/>
        <w:jc w:val="both"/>
        <w:rPr>
          <w:rFonts w:ascii="Times New Roman" w:cs="Times New Roman" w:eastAsia="Times New Roman" w:hAnsi="Times New Roman"/>
          <w:b w:val="1"/>
          <w:bCs w:val="1"/>
          <w:color w:val="000000"/>
          <w:sz w:val="24"/>
          <w:szCs w:val="24"/>
        </w:rPr>
      </w:pPr>
      <w:bookmarkStart w:colFirst="0" w:colLast="0" w:name="_heading=h.7z9f99a8uyk6" w:id="12"/>
      <w:bookmarkEnd w:id="12"/>
      <w:r w:rsidDel="00000000" w:rsidR="00000000" w:rsidRPr="00000000">
        <w:rPr>
          <w:rFonts w:ascii="Times New Roman" w:cs="Times New Roman" w:eastAsia="Times New Roman" w:hAnsi="Times New Roman"/>
          <w:b w:val="1"/>
          <w:bCs w:val="1"/>
          <w:color w:val="000000"/>
          <w:sz w:val="24"/>
          <w:szCs w:val="24"/>
          <w:rtl w:val="0"/>
        </w:rPr>
        <w:t xml:space="preserve">Data Collection</w:t>
      </w:r>
    </w:p>
    <w:p w:rsidR="00000000" w:rsidDel="00000000" w:rsidP="00000000" w:rsidRDefault="00000000" w:rsidRPr="00000000" w14:paraId="0000014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gathering data, the researchers followed the necessary protocols and obtained the required permissions to conduct the study. They submitted a letter of permission to the college dean, which was approved, granting consent for the research. The data collection process involved obtaining information through the college department secretary. The focus of the data collection was on the Entry, retention, and attrition patterns of students who enrolled in our College from the academic year 2013-2023. The objective of this data collection was to analyze and gain insights into the trends and outcomes associated with student enrollment, persistence, and dropout rates within our College.</w:t>
      </w:r>
    </w:p>
    <w:p w:rsidR="00000000" w:rsidDel="00000000" w:rsidP="00000000" w:rsidRDefault="00000000" w:rsidRPr="00000000" w14:paraId="0000014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gathered covered a wide range of topics, such as the demographics of the students, their academic standing, their course of study, and the causes of their attrition. Confidentiality was maintained throughout the study. All collected data were treated with the utmost care and will be solely utilized for research and analysis purposes. The ultimate goal is to enhance the overall educational experience for our students by identifying factors that contribute to student success and developing strategies to improve student retention and reduce attrition. To facilitate data analysis, the researchers employed the Microsoft Excel application to tally the data. The results were presented in tabular form and line graph, enabling a comprehensive analysis and subsequent interpretation of the data.</w:t>
      </w:r>
    </w:p>
    <w:p w:rsidR="00000000" w:rsidDel="00000000" w:rsidP="00000000" w:rsidRDefault="00000000" w:rsidRPr="00000000" w14:paraId="0000014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following these rigorous data collection procedures and utilizing appropriate analytical tools, the researchers to generate meaningful insights that will inform decision-making and contribute to the continuous improvement of our College's educational programs.</w:t>
      </w:r>
    </w:p>
    <w:p w:rsidR="00000000" w:rsidDel="00000000" w:rsidP="00000000" w:rsidRDefault="00000000" w:rsidRPr="00000000" w14:paraId="0000014E">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Ethical Considerations</w:t>
      </w:r>
      <w:r w:rsidDel="00000000" w:rsidR="00000000" w:rsidRPr="00000000">
        <w:rPr>
          <w:rtl w:val="0"/>
        </w:rPr>
      </w:r>
    </w:p>
    <w:p w:rsidR="00000000" w:rsidDel="00000000" w:rsidP="00000000" w:rsidRDefault="00000000" w:rsidRPr="00000000" w14:paraId="00000150">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Ethical guidelines were followed while conducting our study. The researchers recognized  the Data Privacy Act of 2021, which protects people's personal information and their right to privacy, and followed the ethical considerations of Bryman, Bell, and Harley (2022).</w:t>
      </w:r>
    </w:p>
    <w:p w:rsidR="00000000" w:rsidDel="00000000" w:rsidP="00000000" w:rsidRDefault="00000000" w:rsidRPr="00000000" w14:paraId="00000151">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During the study, the researchers care not to harm any of the respondents. Our college department secretary collected the data for research purposes. As researchers we were committed to treating it with respect and keeping it confidential. Data were not shared with anyone outside of the study unless permission was granted or it required by law. Data were kept and stored for the necessary time according to our College's rules and the law.</w:t>
      </w:r>
    </w:p>
    <w:p w:rsidR="00000000" w:rsidDel="00000000" w:rsidP="00000000" w:rsidRDefault="00000000" w:rsidRPr="00000000" w14:paraId="00000152">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researchers believe in conducting research that is fair and unbiased. Ethical guidelines set by governing bodies and review boards were followed to make sure our data collection process was ethical. </w:t>
      </w:r>
    </w:p>
    <w:p w:rsidR="00000000" w:rsidDel="00000000" w:rsidP="00000000" w:rsidRDefault="00000000" w:rsidRPr="00000000" w14:paraId="00000153">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from the data were reported in a way that protected the participants' identities. We used the information to contribute to the knowledge in the field of education and to help make informed decisions in our College. The researchers are committed to conducting ethical research and always improving our data collection practices. Our goal is to uphold the highest ethical standards and to respect the rights and well-being of everyone involved in our research.</w:t>
      </w:r>
    </w:p>
    <w:p w:rsidR="00000000" w:rsidDel="00000000" w:rsidP="00000000" w:rsidRDefault="00000000" w:rsidRPr="00000000" w14:paraId="00000154">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Data Analysis</w:t>
      </w:r>
      <w:r w:rsidDel="00000000" w:rsidR="00000000" w:rsidRPr="00000000">
        <w:rPr>
          <w:rtl w:val="0"/>
        </w:rPr>
      </w:r>
    </w:p>
    <w:p w:rsidR="00000000" w:rsidDel="00000000" w:rsidP="00000000" w:rsidRDefault="00000000" w:rsidRPr="00000000" w14:paraId="00000156">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study employed a range of data analysis methods to investigate student pathways within the Bachelor of Elementary Education (BEED) and Bachelor of Secondary Education (BSED) programs at the College of Education from 2013 to 2023. Firstly, historical enrollment records were analyzed using descriptive statistics, including frequency and percentage, to uncover trends and patterns in annual student entries, facilitating the identification of any significant fluctuations or anomalies over the decade. Secondly, longitudinal data from the College's records enabled the calculation of retention rates, shifted rates, and dropout rates among students, with statistical methods such as mean and standard deviation applied to analyze these rates across the study period and potentially compare trends between the BEED and BSED programs. Thirdly, graduation rates were assessed by calculating the percentage of students completing their programs each year, providing insights into overall program completion trends. Together, these analytical approaches, including frequency, percentage, mean, and standard deviation, aimed to comprehensively explore student pathways, retention dynamics, graduation rates, and the factors shaping attrition within the BEED and BSED programs over the specified timeframe at the College of Education.</w:t>
      </w:r>
      <w:r w:rsidDel="00000000" w:rsidR="00000000" w:rsidRPr="00000000">
        <w:rPr>
          <w:rtl w:val="0"/>
        </w:rPr>
      </w:r>
    </w:p>
    <w:p w:rsidR="00000000" w:rsidDel="00000000" w:rsidP="00000000" w:rsidRDefault="00000000" w:rsidRPr="00000000" w14:paraId="00000157">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8">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A">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B">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C">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D">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E">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F">
      <w:pPr>
        <w:spacing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0">
      <w:pPr>
        <w:spacing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3</w:t>
      </w:r>
    </w:p>
    <w:p w:rsidR="00000000" w:rsidDel="00000000" w:rsidP="00000000" w:rsidRDefault="00000000" w:rsidRPr="00000000" w14:paraId="00000162">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4">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RESULTS AND DISCUSSION</w:t>
      </w:r>
    </w:p>
    <w:p w:rsidR="00000000" w:rsidDel="00000000" w:rsidP="00000000" w:rsidRDefault="00000000" w:rsidRPr="00000000" w14:paraId="00000165">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67">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Pattern of Student Entries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pattern of student entries refers to the trends and variations in the number of students enrolling or entering a particular educational program or institution over a specific period. The patterns of student entries in the BEED and BSED programs from the first semester of 2013 to the second semester of 2023 reveal fluctuations in enrollment trends, reflecting changes in student interest and program popularity over the decade. BSED enrollment shows a significant peak in the first semester of 2015, followed by a general declining trend with fluctuations, reaching low points in 2018 and 2020 and a slight recovery from 2021 to 2023. In contrast, BEED entries remain relatively stable, with minor fluctuations and a consistent drop in 2016, followed by a gradual increase starting in 2021. Overall, while BSED generally has higher enrollment numbers than BEED, especially in the early years with more pronounced fluctuations, BEED exhibits steadier trends in enrollment over the same period. Both programs experienced changes over the years, with notable fluctuations in BSED compared to the more stable pattern in BEED.</w:t>
      </w:r>
    </w:p>
    <w:p w:rsidR="00000000" w:rsidDel="00000000" w:rsidP="00000000" w:rsidRDefault="00000000" w:rsidRPr="00000000" w14:paraId="00000169">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Entry qualifications alone do not determine students' academic success. Therefore, it is important to consider other factors that may influence academic performance and implement strategies to support students' learning and achievement (Hussaini et al., 2022). Academic performance emerges as a crucial factor influencing student entries, with students' major decisions, such as double majors or minors, closely following. It suggests that students who perform well academically and make informed decisions about their majors are more likely to enter and remain in higher education institutions (Hussaini et al., 2022). By 2022, there was a decline in enrollment at two-year colleges, particularly among institutions with a majority of Black and Hispanic students.</w:t>
      </w:r>
    </w:p>
    <w:p w:rsidR="00000000" w:rsidDel="00000000" w:rsidP="00000000" w:rsidRDefault="00000000" w:rsidRPr="00000000" w14:paraId="0000016A">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 the other hand, there was an increase in enrollment at four-year colleges, and high school graduation rates reached a record high in 2022. To understand these trends, we analyzed changes over time and found that higher college enrollment was associated with lower COVID-19 cases and increased in-person classes (Harris et al., 2024). The colleges of education should continue implementing the Post-UTME test, particularly as cases of students with a GPA of 0.00 have been observed among UTME students admitted through direct Entry (Babatunde et al., 2019). By implementing these strategies, higher education institutions can fulfill their commitment to teaching and prevent students from abandoning their studies, thereby benefiting both society and the students themselves. These practices can be adapted to the educational policies of different countries and are applicable to colleges and universities. However, despite efforts to improve retention rates, there will always be students who do not complete their studies (Caballero et al., 2020).</w:t>
      </w:r>
    </w:p>
    <w:p w:rsidR="00000000" w:rsidDel="00000000" w:rsidP="00000000" w:rsidRDefault="00000000" w:rsidRPr="00000000" w14:paraId="0000016B">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researchers present that enrollment trends in the BSED program are more volatile compared to the BEED program, which may imply varying factors influencing student choices, such as changes in program demand, employment prospects, or shifts in educational policy. The general decline in BSED entries after 2015, with occasional recoveries, might indicate challenges in maintaining consistent interest or external factors affecting enrollment. In contrast, the relatively stable BEED entries suggest a steadier interest in elementary education careers, though a decline in 2016 could reflect specific external influences or changes in the program structure.</w:t>
      </w:r>
    </w:p>
    <w:p w:rsidR="00000000" w:rsidDel="00000000" w:rsidP="00000000" w:rsidRDefault="00000000" w:rsidRPr="00000000" w14:paraId="0000016C">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Figure 1.</w:t>
      </w:r>
      <w:r w:rsidDel="00000000" w:rsidR="00000000" w:rsidRPr="00000000">
        <w:rPr>
          <w:rtl w:val="0"/>
        </w:rPr>
      </w:r>
    </w:p>
    <w:p w:rsidR="00000000" w:rsidDel="00000000" w:rsidP="00000000" w:rsidRDefault="00000000" w:rsidRPr="00000000" w14:paraId="0000016D">
      <w:pPr>
        <w:spacing w:line="480" w:lineRule="auto"/>
        <w:rPr>
          <w:rFonts w:ascii="Times New Roman" w:cs="Times New Roman" w:eastAsia="Times New Roman" w:hAnsi="Times New Roman"/>
          <w:i w:val="1"/>
          <w:iCs w:val="1"/>
          <w:color w:val="000000"/>
          <w:sz w:val="24"/>
          <w:szCs w:val="24"/>
        </w:rPr>
      </w:pPr>
      <w:bookmarkStart w:colFirst="0" w:colLast="0" w:name="_heading=h.l34sqj6y4s33" w:id="13"/>
      <w:bookmarkEnd w:id="13"/>
      <w:r w:rsidDel="00000000" w:rsidR="00000000" w:rsidRPr="00000000">
        <w:rPr>
          <w:rFonts w:ascii="Times New Roman" w:cs="Times New Roman" w:eastAsia="Times New Roman" w:hAnsi="Times New Roman"/>
          <w:i w:val="1"/>
          <w:iCs w:val="1"/>
          <w:color w:val="000000"/>
          <w:sz w:val="24"/>
          <w:szCs w:val="24"/>
          <w:rtl w:val="0"/>
        </w:rPr>
        <w:t xml:space="preserve">Patterns of Student Entries in BEED &amp; BSED</w:t>
      </w:r>
    </w:p>
    <w:p w:rsidR="00000000" w:rsidDel="00000000" w:rsidP="00000000" w:rsidRDefault="00000000" w:rsidRPr="00000000" w14:paraId="0000016E">
      <w:pPr>
        <w:tabs>
          <w:tab w:val="left" w:leader="none" w:pos="8550"/>
        </w:tabs>
        <w:spacing w:line="480" w:lineRule="auto"/>
        <w:rPr>
          <w:rFonts w:ascii="Times New Roman" w:cs="Times New Roman" w:eastAsia="Times New Roman" w:hAnsi="Times New Roman"/>
          <w:b w:val="1"/>
          <w:bCs w:val="1"/>
          <w:color w:val="000000"/>
          <w:sz w:val="24"/>
          <w:szCs w:val="24"/>
        </w:rPr>
      </w:pPr>
      <w:r w:rsidDel="00000000" w:rsidR="00000000" w:rsidRPr="00000000">
        <w:rPr/>
        <w:drawing>
          <wp:inline distB="0" distT="0" distL="0" distR="0">
            <wp:extent cx="5524810" cy="3086100"/>
            <wp:docPr id="2121996499"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6F">
      <w:pPr>
        <w:tabs>
          <w:tab w:val="left" w:leader="none" w:pos="8550"/>
        </w:tabs>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70">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Dropout Rates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71">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Dropout rates refer to the percentage of students who leave an educational program or institution before completing their studies. From School Year (SY) 2013 to SY 2023, the dropout rates in both the BEED and BSED programs fluctuated significantly, with BEED experiencing a dramatic spike to approximately 80% in SY 2016, indicating major retention issues that year. The BSED program had a notable peak of around 40% dropout rate in SY 2015. Additional spikes occurred for both programs in SY 2018 and SY 2021, though they were less severe. Overall, dropout percentages typically ranged between 10% and 40%, with more stability observed in SY 2022 and SY 2023 as rates hovered around 10% to 20%. These trends highlight periods of instability and suggest that both programs faced challenges affecting student retention, underscoring the need for targeted interventions to improve dropout rates.</w:t>
      </w:r>
    </w:p>
    <w:p w:rsidR="00000000" w:rsidDel="00000000" w:rsidP="00000000" w:rsidRDefault="00000000" w:rsidRPr="00000000" w14:paraId="00000172">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dropout is a critical challenge for universities, with four-dimensional factors impacting students who discontinue their studies. These dimensions include personal economic factors (individual income and employment status), academic satisfaction factors (relationships with lecturers and supervisors, as well as satisfaction with lecturer quality), academic performance factors (CGPA and program study interest), and economic family factors (parents' income and marital status). Researchers recommend conducting direct interviews in future research and suggest involving stakeholders in the interview process to gather input based on each university's specific conditions (Long &amp; Noor, 2023). Reducing student attrition should be a primary objective for universities, as dropout rates serve as a fundamental indicator in accreditation processes. Variations in intelligence and attention among university students may affect academic performance. Profiling distinct cognitive and learning strategies holds promise in predicting academic failure, underscoring the need for tailored intervention strategies (Gallego et al., 2021). Most student dropouts in MOOCs result from factors beyond the institution's control. Six primary factors directly influencing MOOC student dropout include academic skills, prior experience, course design, feedback, social presence, and social support. Additional factors like interaction, course difficulty, time commitment, motivation, and family/work circumstances play a secondary role. The study's outcomes provide valuable insights for educators and decision-makers to comprehend cause-effect relationships in MOOC student dropout, facilitating relevant interventions to mitigate the high dropout rate (Aldowah et al., 2020).</w:t>
      </w:r>
    </w:p>
    <w:p w:rsidR="00000000" w:rsidDel="00000000" w:rsidP="00000000" w:rsidRDefault="00000000" w:rsidRPr="00000000" w14:paraId="0000017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present that factors influence dropout rates in both BEED and BSED programs, and these factors may vary from year to year. Further investigation is needed to identify these factors and develop strategies to address them.</w:t>
      </w:r>
    </w:p>
    <w:p w:rsidR="00000000" w:rsidDel="00000000" w:rsidP="00000000" w:rsidRDefault="00000000" w:rsidRPr="00000000" w14:paraId="00000174">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2.</w:t>
      </w:r>
    </w:p>
    <w:p w:rsidR="00000000" w:rsidDel="00000000" w:rsidP="00000000" w:rsidRDefault="00000000" w:rsidRPr="00000000" w14:paraId="00000176">
      <w:pPr>
        <w:spacing w:line="480" w:lineRule="auto"/>
        <w:rPr>
          <w:rFonts w:ascii="Times New Roman" w:cs="Times New Roman" w:eastAsia="Times New Roman" w:hAnsi="Times New Roman"/>
          <w:i w:val="1"/>
          <w:iCs w:val="1"/>
          <w:color w:val="000000"/>
          <w:sz w:val="24"/>
          <w:szCs w:val="24"/>
        </w:rPr>
      </w:pPr>
      <w:bookmarkStart w:colFirst="0" w:colLast="0" w:name="_heading=h.bef3yngwigen" w:id="14"/>
      <w:bookmarkEnd w:id="14"/>
      <w:r w:rsidDel="00000000" w:rsidR="00000000" w:rsidRPr="00000000">
        <w:rPr>
          <w:rFonts w:ascii="Times New Roman" w:cs="Times New Roman" w:eastAsia="Times New Roman" w:hAnsi="Times New Roman"/>
          <w:i w:val="1"/>
          <w:iCs w:val="1"/>
          <w:color w:val="000000"/>
          <w:sz w:val="24"/>
          <w:szCs w:val="24"/>
          <w:rtl w:val="0"/>
        </w:rPr>
        <w:t xml:space="preserve">Dropout Rates in BEED &amp; BSED</w:t>
      </w:r>
    </w:p>
    <w:p w:rsidR="00000000" w:rsidDel="00000000" w:rsidP="00000000" w:rsidRDefault="00000000" w:rsidRPr="00000000" w14:paraId="00000177">
      <w:pPr>
        <w:tabs>
          <w:tab w:val="left" w:leader="none" w:pos="8550"/>
        </w:tabs>
        <w:spacing w:line="480" w:lineRule="auto"/>
        <w:rPr>
          <w:rFonts w:ascii="Times New Roman" w:cs="Times New Roman" w:eastAsia="Times New Roman" w:hAnsi="Times New Roman"/>
          <w:i w:val="1"/>
          <w:iCs w:val="1"/>
          <w:color w:val="000000"/>
          <w:sz w:val="24"/>
          <w:szCs w:val="24"/>
        </w:rPr>
      </w:pPr>
      <w:r w:rsidDel="00000000" w:rsidR="00000000" w:rsidRPr="00000000">
        <w:rPr/>
        <w:drawing>
          <wp:inline distB="0" distT="0" distL="0" distR="0">
            <wp:extent cx="5562600" cy="2896188"/>
            <wp:docPr id="2121996501"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7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Transfer Rates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2o5kdbj01odu"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Transfer rates refer to the percentage or proportion of students who move from one educational institution or program to another within a specified timeframe. The transfer rate of BEED students peaked in SY 2015, reaching 16%, while the transfer rate of BSED students peaked in SY 2019, reaching 9%. Both transfer rates have fluctuated over the years, indicating that there may be factors influencing student decisions to transfer.</w:t>
      </w:r>
    </w:p>
    <w:p w:rsidR="00000000" w:rsidDel="00000000" w:rsidP="00000000" w:rsidRDefault="00000000" w:rsidRPr="00000000" w14:paraId="0000017B">
      <w:pPr>
        <w:spacing w:line="480" w:lineRule="auto"/>
        <w:ind w:firstLine="720"/>
        <w:jc w:val="both"/>
        <w:rPr>
          <w:rFonts w:ascii="Times New Roman" w:cs="Times New Roman" w:eastAsia="Times New Roman" w:hAnsi="Times New Roman"/>
          <w:color w:val="000000"/>
          <w:sz w:val="24"/>
          <w:szCs w:val="24"/>
        </w:rPr>
      </w:pPr>
      <w:bookmarkStart w:colFirst="0" w:colLast="0" w:name="_heading=h.357fbao09pnj" w:id="16"/>
      <w:bookmarkEnd w:id="16"/>
      <w:r w:rsidDel="00000000" w:rsidR="00000000" w:rsidRPr="00000000">
        <w:rPr>
          <w:rFonts w:ascii="Times New Roman" w:cs="Times New Roman" w:eastAsia="Times New Roman" w:hAnsi="Times New Roman"/>
          <w:color w:val="000000"/>
          <w:sz w:val="24"/>
          <w:szCs w:val="24"/>
          <w:rtl w:val="0"/>
        </w:rPr>
        <w:t xml:space="preserve">In a study that examined the dropout and transfer behaviors of first-generation students using nationally representative data, it was found that these students were more inclined to leave the education system completely rather than transfer to other institutions. The study also revealed that a stronger sense of belonging was associated with a lower likelihood of transfer within the first four academic years. Based on these findings, recommendations include addressing the specific challenges faced by first-generation students, offering targeted support and resources, promoting a sense of belonging, and conducting further research to understand the factors influencing dropout and transfer behaviors among different student subgroups ( Ishitani &amp; Kamer, 2022 ). This study examined the difference in the number of initial credits between transfer students and first-year students entering a professional education program at a land grant university (N = 488). The findings reveal that transfer students transferred a significantly higher number of total credits and credits that counted towards degree programs compared to first-year students.</w:t>
      </w:r>
    </w:p>
    <w:p w:rsidR="00000000" w:rsidDel="00000000" w:rsidP="00000000" w:rsidRDefault="00000000" w:rsidRPr="00000000" w14:paraId="0000017C">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Additionally, undergraduates from small high schools transferred more credits, including those that counted towards their degree, compared to those from large high schools. However, it was found that first-year students transferred a higher percentage of total credits that counted towards their degree compared to transfer students. The implications of these findings are discussed in terms of advising, institutional practices, and policy considerations (Yang et al., 2018). This literature review focuses on the role of social interaction in student retention during higher education. The findings are divided into two main sub-topics: theoretical student retention models and current research influencing those models. Factors such as university GPA, institutional satisfaction, value of education, student life engagement opportunities, and organizational rules can contribute to a student's decision to drop out or transfer to another institution (Bean, 1980, 1982).</w:t>
      </w:r>
    </w:p>
    <w:p w:rsidR="00000000" w:rsidDel="00000000" w:rsidP="00000000" w:rsidRDefault="00000000" w:rsidRPr="00000000" w14:paraId="0000017D">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both the BEED and BSED programs, variables may affect students' decision to transfer. These variables may also change from year to year. More research is required to comprehend these issues and solve them.</w:t>
      </w:r>
    </w:p>
    <w:p w:rsidR="00000000" w:rsidDel="00000000" w:rsidP="00000000" w:rsidRDefault="00000000" w:rsidRPr="00000000" w14:paraId="0000017E">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F">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3.</w:t>
      </w:r>
    </w:p>
    <w:p w:rsidR="00000000" w:rsidDel="00000000" w:rsidP="00000000" w:rsidRDefault="00000000" w:rsidRPr="00000000" w14:paraId="00000180">
      <w:pPr>
        <w:spacing w:line="480" w:lineRule="auto"/>
        <w:rPr>
          <w:rFonts w:ascii="Times New Roman" w:cs="Times New Roman" w:eastAsia="Times New Roman" w:hAnsi="Times New Roman"/>
          <w:i w:val="1"/>
          <w:iCs w:val="1"/>
          <w:color w:val="000000"/>
          <w:sz w:val="24"/>
          <w:szCs w:val="24"/>
        </w:rPr>
      </w:pPr>
      <w:bookmarkStart w:colFirst="0" w:colLast="0" w:name="_heading=h.nf9c8g7t38cb" w:id="17"/>
      <w:bookmarkEnd w:id="17"/>
      <w:r w:rsidDel="00000000" w:rsidR="00000000" w:rsidRPr="00000000">
        <w:rPr>
          <w:rFonts w:ascii="Times New Roman" w:cs="Times New Roman" w:eastAsia="Times New Roman" w:hAnsi="Times New Roman"/>
          <w:i w:val="1"/>
          <w:iCs w:val="1"/>
          <w:color w:val="000000"/>
          <w:sz w:val="24"/>
          <w:szCs w:val="24"/>
          <w:rtl w:val="0"/>
        </w:rPr>
        <w:t xml:space="preserve">Transfer Rates in BEED &amp; BSED </w:t>
      </w:r>
    </w:p>
    <w:p w:rsidR="00000000" w:rsidDel="00000000" w:rsidP="00000000" w:rsidRDefault="00000000" w:rsidRPr="00000000" w14:paraId="00000181">
      <w:pPr>
        <w:spacing w:line="480" w:lineRule="auto"/>
        <w:rPr>
          <w:rFonts w:ascii="Times New Roman" w:cs="Times New Roman" w:eastAsia="Times New Roman" w:hAnsi="Times New Roman"/>
          <w:i w:val="1"/>
          <w:iCs w:val="1"/>
          <w:color w:val="000000"/>
          <w:sz w:val="24"/>
          <w:szCs w:val="24"/>
        </w:rPr>
      </w:pPr>
      <w:r w:rsidDel="00000000" w:rsidR="00000000" w:rsidRPr="00000000">
        <w:rPr/>
        <w:drawing>
          <wp:inline distB="0" distT="0" distL="0" distR="0">
            <wp:extent cx="5543550" cy="2895866"/>
            <wp:docPr id="2121996500"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82">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3">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Graduation Rates</w:t>
      </w:r>
    </w:p>
    <w:p w:rsidR="00000000" w:rsidDel="00000000" w:rsidP="00000000" w:rsidRDefault="00000000" w:rsidRPr="00000000" w14:paraId="00000184">
      <w:pPr>
        <w:tabs>
          <w:tab w:val="left" w:leader="none" w:pos="1608"/>
        </w:tabs>
        <w:spacing w:line="480" w:lineRule="auto"/>
        <w:jc w:val="both"/>
        <w:rPr/>
      </w:pPr>
      <w:r w:rsidDel="00000000" w:rsidR="00000000" w:rsidRPr="00000000">
        <w:rPr>
          <w:rFonts w:ascii="Times New Roman" w:cs="Times New Roman" w:eastAsia="Times New Roman" w:hAnsi="Times New Roman"/>
          <w:color w:val="000000"/>
          <w:sz w:val="24"/>
          <w:szCs w:val="24"/>
          <w:rtl w:val="0"/>
        </w:rPr>
        <w:t xml:space="preserve">            Graduation rates refer to the percentage or proportion of students who complete their educational program within a specified period. </w:t>
      </w:r>
      <w:r w:rsidDel="00000000" w:rsidR="00000000" w:rsidRPr="00000000">
        <w:rPr>
          <w:rFonts w:ascii="Times New Roman" w:cs="Times New Roman" w:eastAsia="Times New Roman" w:hAnsi="Times New Roman"/>
          <w:color w:val="1c1f23"/>
          <w:sz w:val="24"/>
          <w:szCs w:val="24"/>
          <w:highlight w:val="white"/>
          <w:rtl w:val="0"/>
        </w:rPr>
        <w:t xml:space="preserve">Figures 4a and 4b present the number of students enrolled and graduated from the Bachelor of Elementary Education (BEED) program from 2013 to 2023. Overall, enrollment numbers have fluctuated, with a peak of 80 students in 2015. However, the graduation rate has shown a downward trend, with the lowest rate recorded in 2020 and 2021 (0%).</w:t>
      </w:r>
      <w:r w:rsidDel="00000000" w:rsidR="00000000" w:rsidRPr="00000000">
        <w:rPr>
          <w:rtl w:val="0"/>
        </w:rPr>
      </w:r>
    </w:p>
    <w:p w:rsidR="00000000" w:rsidDel="00000000" w:rsidP="00000000" w:rsidRDefault="00000000" w:rsidRPr="00000000" w14:paraId="00000185">
      <w:pPr>
        <w:spacing w:line="480" w:lineRule="auto"/>
        <w:ind w:firstLine="720"/>
        <w:jc w:val="both"/>
        <w:rPr>
          <w:rFonts w:ascii="Times New Roman" w:cs="Times New Roman" w:eastAsia="Times New Roman" w:hAnsi="Times New Roman"/>
          <w:color w:val="1c1f23"/>
          <w:sz w:val="24"/>
          <w:szCs w:val="24"/>
          <w:highlight w:val="white"/>
        </w:rPr>
      </w:pPr>
      <w:r w:rsidDel="00000000" w:rsidR="00000000" w:rsidRPr="00000000">
        <w:rPr>
          <w:rFonts w:ascii="Times New Roman" w:cs="Times New Roman" w:eastAsia="Times New Roman" w:hAnsi="Times New Roman"/>
          <w:color w:val="1c1f23"/>
          <w:sz w:val="24"/>
          <w:szCs w:val="24"/>
          <w:highlight w:val="white"/>
          <w:rtl w:val="0"/>
        </w:rPr>
        <w:t xml:space="preserve">The yearly findings reveal a decline in the graduation rate from 2013 to 2019. In 2013, the graduation rate was (26%), which decreased to (25%) in 2014, (13%) in 2015, (16%) in 2016, (8%) in 2017, (15%) in 2018, and (32 %) in 2019. The graduation rate remained at (0%) in 2020 and 2021 but slightly improved to (58%) in 2022 and (34%) in 2023. The decline in graduation rate could be attributed to several factors, including increased student dropout rates, challenges in course completion, or changes in the program curriculum. The consistently low graduation rates in 2020 and 2021 are concerning and require immediate attention. Program coordinators, faculty, and administrators must investigate the reasons behind these trends and implement appropriate interventions. </w:t>
      </w:r>
    </w:p>
    <w:p w:rsidR="00000000" w:rsidDel="00000000" w:rsidP="00000000" w:rsidRDefault="00000000" w:rsidRPr="00000000" w14:paraId="00000186">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College graduation rates are widely recognized as a key indicator of institutional quality, as a degree confers significant benefits to both individuals and society (DeAngelo et al., 2011). Successful schools have attributed improvements in graduation rates to factors such as engaging lessons, high expectations, close student monitoring, and enhanced individual/family support (Robertson et al., 2016). At the student level, research has shown that a strong understanding of degree requirements, access to effective advising and support services, and high levels of self-efficacy and perceived value of degree planning can positively influence students' progress toward graduation (Rattray, 2019). Academically prepared students who receive financial aid are also more likely to graduate on time (Millea et al., 2018). Institutional factors play a significant role as well, as less selective colleges have been more successful in improving graduation rates compared to highly selective institutions (Doyle, 2010). Additionally, the availability of courses, campus culture, and a focus on early student success and sustained support throughout the college experience can facilitate degree completion (Tentsho et al., 2019; Gilmer, 2007).</w:t>
      </w:r>
    </w:p>
    <w:p w:rsidR="00000000" w:rsidDel="00000000" w:rsidP="00000000" w:rsidRDefault="00000000" w:rsidRPr="00000000" w14:paraId="00000187">
      <w:pPr>
        <w:spacing w:line="480" w:lineRule="auto"/>
        <w:ind w:firstLine="720"/>
        <w:jc w:val="both"/>
        <w:rPr>
          <w:rFonts w:ascii="Times New Roman" w:cs="Times New Roman" w:eastAsia="Times New Roman" w:hAnsi="Times New Roman"/>
          <w:color w:val="1c1f23"/>
          <w:sz w:val="24"/>
          <w:szCs w:val="24"/>
          <w:highlight w:val="white"/>
        </w:rPr>
      </w:pPr>
      <w:r w:rsidDel="00000000" w:rsidR="00000000" w:rsidRPr="00000000">
        <w:rPr>
          <w:rFonts w:ascii="Times New Roman" w:cs="Times New Roman" w:eastAsia="Times New Roman" w:hAnsi="Times New Roman"/>
          <w:color w:val="1c1f23"/>
          <w:sz w:val="24"/>
          <w:szCs w:val="24"/>
          <w:highlight w:val="white"/>
          <w:rtl w:val="0"/>
        </w:rPr>
        <w:t xml:space="preserve">To address the gaps in the findings, the university administration should conduct a comprehensive review of the BEED program, focusing on identifying the specific factors contributing to the inconsistent graduation rates. It could involve gathering feedback from students, faculty, and staff, as well as analyzing data on student performance, retention, and attrition. Based on the findings, the university should develop a strategic plan to implement targeted interventions, such as enhancing academic support services, improving teaching practices, or adjusting the curriculum to better meet the needs of BEED students. Regular monitoring and evaluation of the implemented strategies will be crucial to ensure continuous improvement and sustainable success in BEED graduation rates.</w:t>
      </w:r>
    </w:p>
    <w:p w:rsidR="00000000" w:rsidDel="00000000" w:rsidP="00000000" w:rsidRDefault="00000000" w:rsidRPr="00000000" w14:paraId="0000018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Figures 4a and 4b present the number of students enrolled in and graduating from the Bachelor of Secondary Education (BSED) program from 2013 to 2023. Overall, enrollment has fluctuated, with a significant increase in 2018 (142). However, the graduation rate has shown a downward trend, with the lowest rate recorded in 2020 and 2021 (0%).</w:t>
      </w:r>
    </w:p>
    <w:p w:rsidR="00000000" w:rsidDel="00000000" w:rsidP="00000000" w:rsidRDefault="00000000" w:rsidRPr="00000000" w14:paraId="0000018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yearly findings show a decline in the graduation rate from 2013 to 2019. In 2013, the graduation rate was (18%), which decreased to (14%) in 2014, (18%) in 2015, (28%) in 2016, (27%) in 2017, (13%) in 2018, and (17%) in 2019. The graduation rate remained at (0%) in 2020 and 2021, but slightly improved to (19%) in 2022 and (16%) in 2023.</w:t>
      </w:r>
    </w:p>
    <w:p w:rsidR="00000000" w:rsidDel="00000000" w:rsidP="00000000" w:rsidRDefault="00000000" w:rsidRPr="00000000" w14:paraId="0000018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decline in graduation rate could be attributed to several factors, including increased student dropout rates, challenges in course completion, or changes in the program curriculum. The consistently low graduation rate in 2020 and 2021 may be a cause for concern. It is crucial for the concerned personnel, such as program coordinators, faculty, and administrators, to investigate the reasons behind these trends and implement appropriate interventions.</w:t>
      </w:r>
    </w:p>
    <w:p w:rsidR="00000000" w:rsidDel="00000000" w:rsidP="00000000" w:rsidRDefault="00000000" w:rsidRPr="00000000" w14:paraId="0000018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Graduation rates serve as crucial metrics of student success, representing the percentage of a school's first-time, first-year college students who continue their studies the following year. Factors influencing these rates include the school's curriculum implementation, student learning, staff professional development needs, collaborative learning culture, and teacher leadership. Future research could delve into the dynamics of peer-led leadership and peer-driven activities within the context of school culture and leadership to enhance student academic performance and graduation rates (Zhang &amp; Koshmanova, 2020). Graduating on time involves completing studies within the specified timeframe, with institutional, motivational, student, and supervisory factors influencing this achievement (Muthukrishan et al., 2022). The effects of the pandemic on academic outcomes, such as course loads, pass rates, and grades among community college students, are also theoretically ambiguous. Students might have struggled with online learning given the lack of structure, the requirement for more self-discipline, and technological disruptions (Bulman &amp; Fairlie, 2022). Course completion is likely to be a primary outcome affected by the shift to remote learning. The major cause of the decrease in course completion rates in Spring 2020 was that a much higher percentage of students withdrew from courses during the semester (Bulman &amp; Fairlie, 2022). Students at Arizona State University studied less and were more likely to withdraw from classes and delay graduation in the spring of 2020 (Aucejo et al., 2020).</w:t>
      </w:r>
    </w:p>
    <w:p w:rsidR="00000000" w:rsidDel="00000000" w:rsidP="00000000" w:rsidRDefault="00000000" w:rsidRPr="00000000" w14:paraId="0000018C">
      <w:pPr>
        <w:spacing w:line="480" w:lineRule="auto"/>
        <w:ind w:firstLine="720"/>
        <w:jc w:val="both"/>
        <w:rPr>
          <w:rFonts w:ascii="Times New Roman" w:cs="Times New Roman" w:eastAsia="Times New Roman" w:hAnsi="Times New Roman"/>
          <w:sz w:val="24"/>
          <w:szCs w:val="24"/>
        </w:rPr>
      </w:pPr>
      <w:bookmarkStart w:colFirst="0" w:colLast="0" w:name="_heading=h.15nr2p5m14z9" w:id="18"/>
      <w:bookmarkEnd w:id="18"/>
      <w:r w:rsidDel="00000000" w:rsidR="00000000" w:rsidRPr="00000000">
        <w:rPr>
          <w:rFonts w:ascii="Times New Roman" w:cs="Times New Roman" w:eastAsia="Times New Roman" w:hAnsi="Times New Roman"/>
          <w:sz w:val="24"/>
          <w:szCs w:val="24"/>
          <w:rtl w:val="0"/>
        </w:rPr>
        <w:t xml:space="preserve">To address the inconsistencies and improve graduation rates, the university should conduct a comprehensive investigation into the factors contributing to the fluctuations. It should involve analyzing student demographics and academic performance data and gathering feedback from students, faculty, and staff. Based on the findings, the university should develop a strategic plan to implement targeted interventions, such as enhancing academic support services, improving teaching practices, or adjusting the curriculum to better meet the needs of students. Regular monitoring and evaluation of the implemented strategies will be crucial to ensuring continuous improvement and sustainable success in graduation rates.</w:t>
      </w:r>
    </w:p>
    <w:p w:rsidR="00000000" w:rsidDel="00000000" w:rsidP="00000000" w:rsidRDefault="00000000" w:rsidRPr="00000000" w14:paraId="0000018D">
      <w:pPr>
        <w:spacing w:line="48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Figure 4a.</w:t>
      </w:r>
    </w:p>
    <w:p w:rsidR="00000000" w:rsidDel="00000000" w:rsidP="00000000" w:rsidRDefault="00000000" w:rsidRPr="00000000" w14:paraId="0000018E">
      <w:pPr>
        <w:spacing w:line="480" w:lineRule="auto"/>
        <w:rPr>
          <w:rFonts w:ascii="Times New Roman" w:cs="Times New Roman" w:eastAsia="Times New Roman" w:hAnsi="Times New Roman"/>
          <w:i w:val="1"/>
          <w:iCs w:val="1"/>
          <w:color w:val="000000"/>
          <w:sz w:val="24"/>
          <w:szCs w:val="24"/>
        </w:rPr>
      </w:pPr>
      <w:bookmarkStart w:colFirst="0" w:colLast="0" w:name="_heading=h.l563i16jws2h" w:id="19"/>
      <w:bookmarkEnd w:id="19"/>
      <w:r w:rsidDel="00000000" w:rsidR="00000000" w:rsidRPr="00000000">
        <w:rPr>
          <w:rFonts w:ascii="Times New Roman" w:cs="Times New Roman" w:eastAsia="Times New Roman" w:hAnsi="Times New Roman"/>
          <w:i w:val="1"/>
          <w:iCs w:val="1"/>
          <w:color w:val="000000"/>
          <w:sz w:val="24"/>
          <w:szCs w:val="24"/>
          <w:rtl w:val="0"/>
        </w:rPr>
        <w:t xml:space="preserve"> Graduation Rates in BEED</w:t>
      </w:r>
    </w:p>
    <w:p w:rsidR="00000000" w:rsidDel="00000000" w:rsidP="00000000" w:rsidRDefault="00000000" w:rsidRPr="00000000" w14:paraId="0000018F">
      <w:pPr>
        <w:spacing w:line="480" w:lineRule="auto"/>
        <w:rPr>
          <w:rFonts w:ascii="Times New Roman" w:cs="Times New Roman" w:eastAsia="Times New Roman" w:hAnsi="Times New Roman"/>
          <w:i w:val="1"/>
          <w:iCs w:val="1"/>
          <w:color w:val="000000"/>
          <w:sz w:val="24"/>
          <w:szCs w:val="24"/>
        </w:rPr>
      </w:pPr>
      <w:r w:rsidDel="00000000" w:rsidR="00000000" w:rsidRPr="00000000">
        <w:rPr/>
        <w:drawing>
          <wp:inline distB="0" distT="0" distL="0" distR="0">
            <wp:extent cx="5543550" cy="3105661"/>
            <wp:docPr id="2121996503"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90">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91">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92">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93">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94">
      <w:pPr>
        <w:spacing w:line="48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95">
      <w:pPr>
        <w:spacing w:line="48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Figure 4b.</w:t>
      </w:r>
      <w:r w:rsidDel="00000000" w:rsidR="00000000" w:rsidRPr="00000000">
        <w:rPr>
          <w:rtl w:val="0"/>
        </w:rPr>
      </w:r>
    </w:p>
    <w:p w:rsidR="00000000" w:rsidDel="00000000" w:rsidP="00000000" w:rsidRDefault="00000000" w:rsidRPr="00000000" w14:paraId="00000196">
      <w:pPr>
        <w:spacing w:line="48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Graduation Rates in BEED</w:t>
      </w:r>
    </w:p>
    <w:p w:rsidR="00000000" w:rsidDel="00000000" w:rsidP="00000000" w:rsidRDefault="00000000" w:rsidRPr="00000000" w14:paraId="00000197">
      <w:pPr>
        <w:spacing w:line="480" w:lineRule="auto"/>
        <w:rPr>
          <w:rFonts w:ascii="Times New Roman" w:cs="Times New Roman" w:eastAsia="Times New Roman" w:hAnsi="Times New Roman"/>
          <w:i w:val="1"/>
          <w:iCs w:val="1"/>
          <w:color w:val="000000"/>
          <w:sz w:val="24"/>
          <w:szCs w:val="24"/>
        </w:rPr>
      </w:pPr>
      <w:r w:rsidDel="00000000" w:rsidR="00000000" w:rsidRPr="00000000">
        <w:rPr/>
        <w:drawing>
          <wp:inline distB="0" distT="0" distL="0" distR="0">
            <wp:extent cx="5467350" cy="2800653"/>
            <wp:docPr id="2121996502"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98">
      <w:pPr>
        <w:spacing w:line="48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Primary Factors or Reasons Contributing to Student Transfer and Dropouts.</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webkit-standard" w:cs="-webkit-standard" w:eastAsia="-webkit-standard" w:hAnsi="-webkit-standard"/>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table below presents the key factors that influenced students' decisions to leave Misamis University (MU). The following data are based on the information obtained from the School Leavers form ( MU -G&amp;TC-011B).</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webkit-standard" w:cs="-webkit-standard" w:eastAsia="-webkit-standard" w:hAnsi="-webkit-standard"/>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personal factors contributing to student attrition at MU were wide-ranging. The most significant reason was the desire to experience different school environments, cited by nearly 17% of former students. Many were motivated by the opportunity to explore educational options at other institutions. The opportunity to explore new academic and social environments is a key factor in student mobility and transfer decisions (Tinto, 2017). Closely behind was the wish to study nearer to family, with over 12% of students leaving MU to be closer to their loved ones, which is consistent with prior studies highlighting the importance of geographic proximity and family support in college persistence (Wang, 2020; Lohfink &amp; Paulsen, 2019). Transfer of residence or migration, affecting 11.5% of students, also played a major role, as personal or family circumstances required relocation, emphasizing how changes in personal circumstances, such as relocation, can disrupt a student's educational trajectory ( Rumann &amp; Hamrick, 2018) Financial challenges beyond just tuition fees were a factor for 3.8% of students, who encountered unexpected expenses that made continuing their studies at MU difficult. External influences also impacted student decisions, with 6.6% citing the influence of parents, relatives, or benefactors. A small percentage also left MU due to health-related problems (0.8%) or emotional issues (1.1%) that affected their ability to continue. Other personal factors included difficulty with commuting (1.6%), the high cost of living in Ozamiz City (2.4%), a sense of non-belongingness (1.1%), and competing family responsibilities (0.6%). Collectively, these diverse personal circumstances played a significant role in driving over half of the students to leave Misamis University.</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webkit-standard" w:cs="-webkit-standard" w:eastAsia="-webkit-standard" w:hAnsi="-webkit-standard"/>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institutional factors contributing to student attrition at MU centered primarily around financial and administrative challenges. The high tuition and other fees charged by the university were a major barrier, cited by over 10% of former students as a key reason for leaving. Many could not afford the cost of attendance at MU. Related to this, (5.2%) of students reported experiencing class scheduling problems that made it difficult for them to enroll in the courses they needed, further exacerbating the financial strain. Other institutional factors played a smaller but still notable role. For 1.1% of students, the unavailability of their desired major subjects at MU was a dealbreaker, as they were unable to pursue their preferred field of study. A small number also expressed dissatisfaction with the academic standards and instruction (0.6%) as well as the approachability of faculty and staff (0.3%). Even physical issues like poorly ventilated classrooms (0.3%) contributed to a small percentage of students' decisions to leave.</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webkit-standard" w:cs="-webkit-standard" w:eastAsia="-webkit-standard" w:hAnsi="-webkit-standard"/>
          <w:b w:val="0"/>
          <w:bCs w:val="0"/>
          <w:i w:val="0"/>
          <w:iCs w:val="0"/>
          <w:smallCaps w:val="0"/>
          <w:strike w:val="0"/>
          <w:color w:val="000000"/>
          <w:sz w:val="24"/>
          <w:szCs w:val="24"/>
          <w:u w:val="none"/>
          <w:shd w:fill="auto" w:val="clear"/>
          <w:vertAlign w:val="baseline"/>
        </w:rPr>
      </w:pPr>
      <w:r w:rsidDel="00000000" w:rsidR="00000000" w:rsidRPr="00000000">
        <w:rPr>
          <w:rFonts w:ascii="-webkit-standard" w:cs="-webkit-standard" w:eastAsia="-webkit-standard" w:hAnsi="-webkit-standard"/>
          <w:b w:val="0"/>
          <w:bCs w:val="0"/>
          <w:i w:val="0"/>
          <w:iCs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academic factors influencing students' decisions to leave MU were less prominent than personal and institutional reasons, but they still played a role for a subset of the student population. The most significant academic factor, cited by 5.2% of former students, was the belief that they had a better chance of finishing their degree at a different institution. It suggests that some students felt MU was not providing them with the optimal environment or support to complete their studies. Beyond that, only a small percentage of students left MU due to strictly academic reasons. A mere 0.6% reported failing in their major subjects as a key factor, while an even smaller number were dissatisfied with their grades (0.3%) or felt there were too many course requirements (0.5%). The data indicates that for the vast majority of students, academic challenges were not the primary driver behind their decision to withdraw from MU. </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employment-related factors accounted for a notable portion of the reasons students chose to leave Misamis University, making up 15% of the total. The most significant employment factor was job requirements - 9% of former students reported that their job mandated they pursue a master's or doctoral degree, necessitating their withdrawal from the undergraduate program at MU. Another 3.6% of students cited a conflict between the demands of their jobs and the requirements of their studies at MU. The competing priorities of employment and academics proved too challenging for this group, leading them to leave the university. A small percentage, 0.8%, had actually accepted a full-time job offer, choosing to enter the workforce rather than continue their studies at MU. An even smaller number, 0.3%, found that their job no longer required a college degree, making their continued enrollment unnecessary.</w:t>
      </w:r>
      <w:r w:rsidDel="00000000" w:rsidR="00000000" w:rsidRPr="00000000">
        <w:rPr>
          <w:rFonts w:ascii="-webkit-standard" w:cs="-webkit-standard" w:eastAsia="-webkit-standard" w:hAnsi="-webkit-standard"/>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significant number of participants had contemplated abandoning their university studies before completion. Various factors influenced this consideration, time management, anticipated study workload, and work commitments being the most commonly mentioned. (Nieuwoudt &amp; Pedler, 2023).</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540"/>
        <w:jc w:val="both"/>
        <w:rPr>
          <w:rFonts w:ascii="-webkit-standard" w:cs="-webkit-standard" w:eastAsia="-webkit-standard" w:hAnsi="-webkit-standard"/>
          <w:b w:val="0"/>
          <w:bCs w:val="0"/>
          <w:i w:val="0"/>
          <w:iCs w:val="0"/>
          <w:smallCaps w:val="0"/>
          <w:strike w:val="0"/>
          <w:color w:val="000000"/>
          <w:sz w:val="24"/>
          <w:szCs w:val="24"/>
          <w:u w:val="none"/>
          <w:shd w:fill="auto" w:val="clear"/>
          <w:vertAlign w:val="baseline"/>
        </w:rPr>
      </w:pPr>
      <w:bookmarkStart w:colFirst="0" w:colLast="0" w:name="_heading=h.4a056miq1zqf" w:id="20"/>
      <w:bookmarkEnd w:id="2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Overall, the reasons for leaving MU were related to personal factors (51.64%), followed by institutional factors (17.77%), academic factors (6.28%), and employment factors (15.03%).</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students leave because of low academic achievement, irregular class attendance, lack of academic support, and financial issues, which are key reasons for student dropout, mirroring personal, academic, and institutional factors (Subedi, 2022). The challenges in higher education retention are linked to rising tuition costs, reflecting the institutional factors influencing students' decisions to leave (Pruett, 2009). Adult learners face barriers like job responsibilities and family obligations, echoing the personal factors identified (Styles, 2011). Additionally, the impact of personal economic factors, academic satisfaction, and family economics on student dropout has been emphasized (Nurmalitasari et al., 2023). It is very important to address students' comprehensive needs for improved retention rates, resonating with the significance of student support services in the institutional factors  (Bergstrom, 2012).</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Several strategies can be implemented to enhance student retention at Misamis University. Firstly, addressing personal factors by improving understanding of students' diverse circumstances and providing support for challenges like family obligations and health issues is crucial. Offering counseling services and mental health support can further aid in this aspect. Secondly, tackling institutional factors by reassessing tuition fees, optimizing course scheduling, and expanding program offerings can make education more accessible and appealing to students. Additionally, focusing on academic support through enhanced advising, tutoring services, and peer mentoring programs can guide students toward success. Addressing employment-related factors by offering flexible scheduling options, distance learning opportunities, and partnerships with employers can support students in balancing work and academics. Embracing a holistic approach that integrates strategies across personal, institutional, academic, and employment-related domains is key. Creating a student-centered environment that prioritizes individual support and success while continuously evaluating and adjusting retention initiatives based on student feedback will contribute to improved student retention rates at Misamis University.</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6.</w:t>
      </w:r>
    </w:p>
    <w:p w:rsidR="00000000" w:rsidDel="00000000" w:rsidP="00000000" w:rsidRDefault="00000000" w:rsidRPr="00000000" w14:paraId="000001A4">
      <w:pPr>
        <w:ind w:left="720" w:firstLine="0"/>
        <w:rPr>
          <w:rFonts w:ascii="Times New Roman" w:cs="Times New Roman" w:eastAsia="Times New Roman" w:hAnsi="Times New Roman"/>
          <w:b w:val="1"/>
          <w:bCs w:val="1"/>
          <w:sz w:val="24"/>
          <w:szCs w:val="24"/>
        </w:rPr>
      </w:pPr>
      <w:bookmarkStart w:colFirst="0" w:colLast="0" w:name="_heading=h.q18v7filntvm" w:id="21"/>
      <w:bookmarkEnd w:id="21"/>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Financial challenges, academic difficulties, a lack of support services, personal circumstances, and dissatisfaction with the program were the primary factors contributing to student transfers and dropouts among those enrolled at the College of Education from 2013 to 2023.</w:t>
      </w:r>
    </w:p>
    <w:tbl>
      <w:tblPr>
        <w:tblStyle w:val="Table1"/>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9"/>
        <w:gridCol w:w="1427"/>
        <w:gridCol w:w="1427"/>
        <w:gridCol w:w="1427"/>
        <w:tblGridChange w:id="0">
          <w:tblGrid>
            <w:gridCol w:w="4359"/>
            <w:gridCol w:w="1427"/>
            <w:gridCol w:w="1427"/>
            <w:gridCol w:w="1427"/>
          </w:tblGrid>
        </w:tblGridChange>
      </w:tblGrid>
      <w:tr>
        <w:trPr>
          <w:cantSplit w:val="0"/>
          <w:trHeight w:val="397" w:hRule="atLeast"/>
          <w:tblHeader w:val="1"/>
        </w:trPr>
        <w:tc>
          <w:tcPr>
            <w:tcBorders>
              <w:left w:color="000000" w:space="0" w:sz="0" w:val="nil"/>
              <w:bottom w:color="000000" w:space="0" w:sz="4" w:val="single"/>
              <w:right w:color="000000" w:space="0" w:sz="0" w:val="nil"/>
            </w:tcBorders>
          </w:tcPr>
          <w:p w:rsidR="00000000" w:rsidDel="00000000" w:rsidP="00000000" w:rsidRDefault="00000000" w:rsidRPr="00000000" w14:paraId="000001A6">
            <w:pPr>
              <w:ind w:left="72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Reasons for Leaving MU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1A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Frequency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1A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Percentage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1A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Ranks</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Personal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Transfer of Residence/Migration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11.47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Wants to experience different school environments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16.94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Want to study near my family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Encountered unexpected expenses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Influence by parents/ relatives/ benefactors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Encountered health-related problems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Marital situations change once educational plan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Difficulty in commuting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Cost of living in Ozamiz City is too high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Experienced emotional problems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Feeling of non- belongingness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Family responsibilities were too great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Institutional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3">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4">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5">
            <w:pPr>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Experienced class scheduling problems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Tuition and other fee were more  than I could afford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Desired major subject/s are off semester and I have to wait another semester/ school year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Dissatisfied with the academic instruction/standard of my college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Faculty and staff are not approachable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Classrooms are not ventilated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Academic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F">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0">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1">
            <w:pPr>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Better chance of finishing in other schools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Failed in my major subject/s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Too many requirements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Dissatisfied with my grades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Too many required subjects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Employment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7">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8">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9">
            <w:pPr>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Job requires me to pursue masteral/ doctoral degree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9.02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Conflict between the demand of jobs and studies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3.55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Job requires to enroll another baccalaureate program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Accepted a full-time job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0.82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Could not find a part time job in Ozamiz City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0.27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Job no longer requires me to continue my college education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0.27</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bl>
    <w:p w:rsidR="00000000" w:rsidDel="00000000" w:rsidP="00000000" w:rsidRDefault="00000000" w:rsidRPr="00000000" w14:paraId="00000233">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34">
      <w:pPr>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3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4</w:t>
      </w:r>
    </w:p>
    <w:p w:rsidR="00000000" w:rsidDel="00000000" w:rsidP="00000000" w:rsidRDefault="00000000" w:rsidRPr="00000000" w14:paraId="00000237">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8">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9">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SUMMARY, FINDINGS, CONCLUSIONS, AND RECOMMENDATIONS</w:t>
      </w:r>
    </w:p>
    <w:p w:rsidR="00000000" w:rsidDel="00000000" w:rsidP="00000000" w:rsidRDefault="00000000" w:rsidRPr="00000000" w14:paraId="0000023A">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3C">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Summary</w:t>
      </w:r>
    </w:p>
    <w:p w:rsidR="00000000" w:rsidDel="00000000" w:rsidP="00000000" w:rsidRDefault="00000000" w:rsidRPr="00000000" w14:paraId="0000023D">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study aimed to investigate student pathways within the Bachelor of Elementary Education (BEED) and Bachelor of Secondary Education (BSED) programs at the College of Education from 2013 to 2023. Specifically, it sought to understand the patterns of student entries into these programs over the decade, analyzed dropout and transfer rates among enrolled students, assessed the graduation rates within the specified timeframe, and identify primary factors contributing to student shifts and dropouts. By addressing these objectives, the study aimed to provide comprehensive insights into the dynamics of student enrollment, retention, and completion within the College of Education, informing strategies to enhance student success and program effectiveness.</w:t>
      </w:r>
    </w:p>
    <w:p w:rsidR="00000000" w:rsidDel="00000000" w:rsidP="00000000" w:rsidRDefault="00000000" w:rsidRPr="00000000" w14:paraId="0000023E">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Anchored in Social-Cultural Capital Theory (Bourdieu, 1977), Academic Engagement and Persistence Theory (Tinto, 1982), and Ecological Systems Theory (Bronfenbrenner, 1979), this study utilized a quantitative, descriptive design to explore student pathways within the College of Education from 2013 to 2023, focusing on the BEED and BSED programs at a tertiary institution in Ozamiz City, Northwestern Mindanao. Current students, alumni, and academic advisors were involved, and historical enrollment records were analyzed using descriptive statistics to track annual admissions and identify trends. Longitudinal data enabled the calculation of transfer and dropout rates, with statistical methods used to compare trends between the BEED programs. Graduation rates were assessed annually, and the primary factors or reasons contributing to students' shifts and dropouts were analyzed by determining their frequency, percentage, and rank, aligning with ethical guidelines including the Data Privacy Act of 2021 and principles outlined by Bryman, Bell, and Harley (2022). The study aimed to inform strategies enhancing student support, retention, and success to bolster teacher preparation for the K-12 education system.</w:t>
      </w:r>
    </w:p>
    <w:p w:rsidR="00000000" w:rsidDel="00000000" w:rsidP="00000000" w:rsidRDefault="00000000" w:rsidRPr="00000000" w14:paraId="0000023F">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Findings</w:t>
      </w:r>
    </w:p>
    <w:p w:rsidR="00000000" w:rsidDel="00000000" w:rsidP="00000000" w:rsidRDefault="00000000" w:rsidRPr="00000000" w14:paraId="00000240">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following were the salient findings of the study:</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42h804n6drui" w:id="22"/>
      <w:bookmarkEnd w: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The BSED enrollment experienced significant fluctuations and a general decline after 2015, while BEED enrollment remained relatively stable with minor fluctuations, indicating different trends in student interest and program demand over the years.</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The dropout rates for BEED and BSED programs fluctuated over the years, with no consistent trend for either program.</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The transfer rates for BEED and BSED programs fluctuated over the years, with no consistent trend for either program.</w:t>
      </w:r>
    </w:p>
    <w:p w:rsidR="00000000" w:rsidDel="00000000" w:rsidP="00000000" w:rsidRDefault="00000000" w:rsidRPr="00000000" w14:paraId="0000024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Graduation rates for the BEED and BSED programs have fluctuated significantly over the years, with BEED generally showing improvement and stability by 2023, while BSED experienced notable declines, particularly in 2020, but also showed recovery by 2023, reflecting the need for further analysis of factors affecting these trends.</w:t>
      </w:r>
    </w:p>
    <w:p w:rsidR="00000000" w:rsidDel="00000000" w:rsidP="00000000" w:rsidRDefault="00000000" w:rsidRPr="00000000" w14:paraId="0000024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Student attrition at Misamis University was primarily driven by personal factors, with significant contributions from financial and administrative challenges, employment-related demands, and, to a lesser extent, academic factors.</w:t>
      </w:r>
    </w:p>
    <w:p w:rsidR="00000000" w:rsidDel="00000000" w:rsidP="00000000" w:rsidRDefault="00000000" w:rsidRPr="00000000" w14:paraId="00000246">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Conclusions</w:t>
      </w:r>
      <w:r w:rsidDel="00000000" w:rsidR="00000000" w:rsidRPr="00000000">
        <w:rPr>
          <w:rtl w:val="0"/>
        </w:rPr>
      </w:r>
    </w:p>
    <w:p w:rsidR="00000000" w:rsidDel="00000000" w:rsidP="00000000" w:rsidRDefault="00000000" w:rsidRPr="00000000" w14:paraId="00000249">
      <w:pPr>
        <w:spacing w:line="480" w:lineRule="auto"/>
        <w:ind w:firstLine="360"/>
        <w:jc w:val="both"/>
        <w:rPr>
          <w:rFonts w:ascii="Times New Roman" w:cs="Times New Roman" w:eastAsia="Times New Roman" w:hAnsi="Times New Roman"/>
          <w:color w:val="000000"/>
          <w:sz w:val="24"/>
          <w:szCs w:val="24"/>
        </w:rPr>
      </w:pPr>
      <w:bookmarkStart w:colFirst="0" w:colLast="0" w:name="_heading=h.v4s01amew1y0" w:id="23"/>
      <w:bookmarkEnd w:id="23"/>
      <w:r w:rsidDel="00000000" w:rsidR="00000000" w:rsidRPr="00000000">
        <w:rPr>
          <w:rFonts w:ascii="Times New Roman" w:cs="Times New Roman" w:eastAsia="Times New Roman" w:hAnsi="Times New Roman"/>
          <w:color w:val="000000"/>
          <w:sz w:val="24"/>
          <w:szCs w:val="24"/>
          <w:rtl w:val="0"/>
        </w:rPr>
        <w:t xml:space="preserve">Based on the findings, the following conclusions are made:</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fscv8ses505" w:id="24"/>
      <w:bookmarkEnd w: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The number of students entering both BEED and BSED programs has fluctuated over the years, indicating potential factors influencing student enrollment decisions.</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mra0aw18s21m" w:id="25"/>
      <w:bookmarkEnd w:id="2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The dropout rates for BEED and BSED programs have fluctuated over the years, with no consistent trend for either program.</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The transfer rates for BEED and BSED programs have fluctuated over the years, with no consistent trend for either program, suggesting the need for further investigation and potential interventions.</w:t>
      </w:r>
    </w:p>
    <w:p w:rsidR="00000000" w:rsidDel="00000000" w:rsidP="00000000" w:rsidRDefault="00000000" w:rsidRPr="00000000" w14:paraId="0000024D">
      <w:pPr>
        <w:spacing w:line="48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graduation rates in both BEED and BSED programs fluctuated over the years, with varying peaks and declines noted. Overall, significant improvements were observed in both programs by 2023, with higher graduation rates achieved compared to earlier years, demonstrating potential enhancements in program effectiveness and support mechanisms for student success.</w:t>
      </w:r>
    </w:p>
    <w:p w:rsidR="00000000" w:rsidDel="00000000" w:rsidP="00000000" w:rsidRDefault="00000000" w:rsidRPr="00000000" w14:paraId="0000024E">
      <w:pPr>
        <w:spacing w:line="48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The primary factors contributing to student shifts and dropouts at Misamis University from 2013 to 2023 were diverse. Personal reasons like the desire for different school environments and proximity to family were the most significant, followed by institutional financial challenges, academic concerns, and employment-related issues. Addressing these factors through targeted support services, financial aid adjustments, flexible scheduling, and enhanced academic advising can help improve student retention rates.</w:t>
      </w:r>
    </w:p>
    <w:p w:rsidR="00000000" w:rsidDel="00000000" w:rsidP="00000000" w:rsidRDefault="00000000" w:rsidRPr="00000000" w14:paraId="0000024F">
      <w:pPr>
        <w:spacing w:line="48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jc w:val="both"/>
        <w:rPr/>
      </w:pPr>
      <w:r w:rsidDel="00000000" w:rsidR="00000000" w:rsidRPr="00000000">
        <w:rPr>
          <w:rtl w:val="0"/>
        </w:rPr>
      </w:r>
    </w:p>
    <w:p w:rsidR="00000000" w:rsidDel="00000000" w:rsidP="00000000" w:rsidRDefault="00000000" w:rsidRPr="00000000" w14:paraId="00000251">
      <w:pPr>
        <w:jc w:val="both"/>
        <w:rPr/>
      </w:pPr>
      <w:r w:rsidDel="00000000" w:rsidR="00000000" w:rsidRPr="00000000">
        <w:rPr>
          <w:rtl w:val="0"/>
        </w:rPr>
      </w:r>
    </w:p>
    <w:p w:rsidR="00000000" w:rsidDel="00000000" w:rsidP="00000000" w:rsidRDefault="00000000" w:rsidRPr="00000000" w14:paraId="00000252">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3">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4">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Recommendations</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vxqlqz5iq61m" w:id="26"/>
      <w:bookmarkEnd w:id="2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researchers present our findings and conclusions on enrollment trends to the esteemed personnel of the College of Education, recommending specific actions for program enhancement based on data from 2013 to 2023.</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The Dean may collaborate with academic advisors and career services to implement targeted outreach initiatives, enhance marketing strategies for the BSED program, and develop tailored support mechanisms for improving student engagement and retention. Regular surveys and focus groups with students can also provide insights to guide program adjustments and resource allocation.</w:t>
      </w:r>
    </w:p>
    <w:p w:rsidR="00000000" w:rsidDel="00000000" w:rsidP="00000000" w:rsidRDefault="00000000" w:rsidRPr="00000000" w14:paraId="00000258">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color w:val="000000"/>
          <w:sz w:val="24"/>
          <w:szCs w:val="24"/>
          <w:rtl w:val="0"/>
        </w:rPr>
        <w:t xml:space="preserve">The Dean and faculty may closely examine the fluctuating dropout rates in the BEED and BSED programs, identify contributing factors, and implement targeted interventions to stabilize and reduce student attrition.</w:t>
      </w:r>
    </w:p>
    <w:p w:rsidR="00000000" w:rsidDel="00000000" w:rsidP="00000000" w:rsidRDefault="00000000" w:rsidRPr="00000000" w14:paraId="0000025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color w:val="000000"/>
          <w:sz w:val="24"/>
          <w:szCs w:val="24"/>
          <w:rtl w:val="0"/>
        </w:rPr>
        <w:t xml:space="preserve">The Dean may form a faculty task force to analyze the fluctuating transfer rates in BEED and BSED programs and implement targeted interventions to improve student retention.</w:t>
      </w:r>
      <w:r w:rsidDel="00000000" w:rsidR="00000000" w:rsidRPr="00000000">
        <w:rPr>
          <w:rtl w:val="0"/>
        </w:rPr>
      </w:r>
    </w:p>
    <w:p w:rsidR="00000000" w:rsidDel="00000000" w:rsidP="00000000" w:rsidRDefault="00000000" w:rsidRPr="00000000" w14:paraId="0000025A">
      <w:pPr>
        <w:spacing w:after="240" w:line="480" w:lineRule="auto"/>
        <w:ind w:firstLine="720"/>
        <w:jc w:val="both"/>
        <w:rPr>
          <w:rFonts w:ascii="Times New Roman" w:cs="Times New Roman" w:eastAsia="Times New Roman" w:hAnsi="Times New Roman"/>
          <w:sz w:val="24"/>
          <w:szCs w:val="24"/>
        </w:rPr>
      </w:pPr>
      <w:bookmarkStart w:colFirst="0" w:colLast="0" w:name="_heading=h.gvf5867yk4yb" w:id="27"/>
      <w:bookmarkEnd w:id="27"/>
      <w:r w:rsidDel="00000000" w:rsidR="00000000" w:rsidRPr="00000000">
        <w:rPr>
          <w:rFonts w:ascii="Times New Roman" w:cs="Times New Roman" w:eastAsia="Times New Roman" w:hAnsi="Times New Roman"/>
          <w:sz w:val="24"/>
          <w:szCs w:val="24"/>
          <w:rtl w:val="0"/>
        </w:rPr>
        <w:t xml:space="preserve">4. To address the fluctuations in graduation rates for the BEED and BSED programs, the Dean may form a task force of faculty, advisors, and student representatives to analyze factors influencing these trends and develop targeted interventions to enhance student retention and success in both programs. </w:t>
      </w:r>
    </w:p>
    <w:p w:rsidR="00000000" w:rsidDel="00000000" w:rsidP="00000000" w:rsidRDefault="00000000" w:rsidRPr="00000000" w14:paraId="0000025B">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The Dean may implement targeted support services that focus on personal and financial challenges, including financial aid resources, counseling, flexible academic schedules, and enhanced communication between students and administration to mitigate administrative hurdles.</w:t>
      </w:r>
    </w:p>
    <w:p w:rsidR="00000000" w:rsidDel="00000000" w:rsidP="00000000" w:rsidRDefault="00000000" w:rsidRPr="00000000" w14:paraId="0000025C">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It is recommended that administrators plan projects that enhance the university's facilities and environment and organize activities that address and satisfy the student's needs.</w:t>
      </w:r>
    </w:p>
    <w:p w:rsidR="00000000" w:rsidDel="00000000" w:rsidP="00000000" w:rsidRDefault="00000000" w:rsidRPr="00000000" w14:paraId="0000025D">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researchers may conduct thorough analyses of enrollment, dropout rates, student transfers, and graduation rates, implementing targeted interventions such as recruitment strategies, academic support programs, and enhanced student services to optimize educational outcomes in teacher education programs.</w:t>
      </w:r>
    </w:p>
    <w:p w:rsidR="00000000" w:rsidDel="00000000" w:rsidP="00000000" w:rsidRDefault="00000000" w:rsidRPr="00000000" w14:paraId="0000025E">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REFERENCES</w:t>
      </w:r>
    </w:p>
    <w:p w:rsidR="00000000" w:rsidDel="00000000" w:rsidP="00000000" w:rsidRDefault="00000000" w:rsidRPr="00000000" w14:paraId="0000026A">
      <w:pPr>
        <w:rPr>
          <w:rFonts w:ascii="Times New Roman" w:cs="Times New Roman" w:eastAsia="Times New Roman" w:hAnsi="Times New Roman"/>
          <w:color w:val="1c1f23"/>
          <w:sz w:val="27"/>
          <w:szCs w:val="27"/>
          <w:highlight w:val="white"/>
        </w:rPr>
      </w:pPr>
      <w:r w:rsidDel="00000000" w:rsidR="00000000" w:rsidRPr="00000000">
        <w:rPr>
          <w:rtl w:val="0"/>
        </w:rPr>
      </w:r>
    </w:p>
    <w:p w:rsidR="00000000" w:rsidDel="00000000" w:rsidP="00000000" w:rsidRDefault="00000000" w:rsidRPr="00000000" w14:paraId="000002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Aldowah, H., Al-Samarraie, H., Alzahrani, A. I., &amp; Alalwan, N. (2020). Factors affecting  </w:t>
      </w:r>
    </w:p>
    <w:p w:rsidR="00000000" w:rsidDel="00000000" w:rsidP="00000000" w:rsidRDefault="00000000" w:rsidRPr="00000000" w14:paraId="0000026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dropout in MOOCs: a cause and effect decision‐making model. </w:t>
      </w:r>
      <w:r w:rsidDel="00000000" w:rsidR="00000000" w:rsidRPr="00000000">
        <w:rPr>
          <w:rFonts w:ascii="Times New Roman" w:cs="Times New Roman" w:eastAsia="Times New Roman" w:hAnsi="Times New Roman"/>
          <w:i w:val="1"/>
          <w:iCs w:val="1"/>
          <w:sz w:val="24"/>
          <w:szCs w:val="24"/>
          <w:rtl w:val="0"/>
        </w:rPr>
        <w:t xml:space="preserve">Journal of Computing in Higher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 429-454.</w:t>
      </w:r>
    </w:p>
    <w:p w:rsidR="00000000" w:rsidDel="00000000" w:rsidP="00000000" w:rsidRDefault="00000000" w:rsidRPr="00000000" w14:paraId="0000026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Ashour, S. (2020). Analysis of the attrition phenomenon through the lens of university  </w:t>
      </w:r>
    </w:p>
    <w:p w:rsidR="00000000" w:rsidDel="00000000" w:rsidP="00000000" w:rsidRDefault="00000000" w:rsidRPr="00000000" w14:paraId="0000026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dropouts in the United Arab Emirates. </w:t>
      </w:r>
      <w:r w:rsidDel="00000000" w:rsidR="00000000" w:rsidRPr="00000000">
        <w:rPr>
          <w:rFonts w:ascii="Times New Roman" w:cs="Times New Roman" w:eastAsia="Times New Roman" w:hAnsi="Times New Roman"/>
          <w:i w:val="1"/>
          <w:iCs w:val="1"/>
          <w:sz w:val="24"/>
          <w:szCs w:val="24"/>
          <w:rtl w:val="0"/>
        </w:rPr>
        <w:t xml:space="preserve">Journal of Applied Research in Higher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(2), 357-374.</w:t>
      </w:r>
    </w:p>
    <w:p w:rsidR="00000000" w:rsidDel="00000000" w:rsidP="00000000" w:rsidRDefault="00000000" w:rsidRPr="00000000" w14:paraId="0000027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ind w:left="720" w:hanging="720"/>
        <w:jc w:val="both"/>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Aucejo, E. M., French, J., Araya, M. P. U., &amp; Zafar, B. (2020). The impact of COVID-19 on student experiences and expectations: Evidence from a survey. </w:t>
      </w:r>
      <w:r w:rsidDel="00000000" w:rsidR="00000000" w:rsidRPr="00000000">
        <w:rPr>
          <w:rFonts w:ascii="Times New Roman" w:cs="Times New Roman" w:eastAsia="Times New Roman" w:hAnsi="Times New Roman"/>
          <w:i w:val="1"/>
          <w:iCs w:val="1"/>
          <w:color w:val="222222"/>
          <w:sz w:val="24"/>
          <w:szCs w:val="24"/>
          <w:highlight w:val="white"/>
          <w:rtl w:val="0"/>
        </w:rPr>
        <w:t xml:space="preserve">Journal of public economics, 191, 104271.</w:t>
      </w:r>
    </w:p>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Babatunde, A. E., Chukuwuemeka, E. J., Abdulrahim, M., &amp; Adai, S. I. (2019).  </w:t>
      </w:r>
    </w:p>
    <w:p w:rsidR="00000000" w:rsidDel="00000000" w:rsidP="00000000" w:rsidRDefault="00000000" w:rsidRPr="00000000" w14:paraId="0000027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Achievement of Direct-Entry and Non-Direct Entry (Pre-NCE) Science Students in Niger State College of Education, Minna Nigeria: Implications for Educational Administrators. </w:t>
      </w:r>
      <w:r w:rsidDel="00000000" w:rsidR="00000000" w:rsidRPr="00000000">
        <w:rPr>
          <w:rFonts w:ascii="Times New Roman" w:cs="Times New Roman" w:eastAsia="Times New Roman" w:hAnsi="Times New Roman"/>
          <w:i w:val="1"/>
          <w:iCs w:val="1"/>
          <w:sz w:val="24"/>
          <w:szCs w:val="24"/>
          <w:rtl w:val="0"/>
        </w:rPr>
        <w:t xml:space="preserve">International Journal of Innovative Research &amp;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(6), 103-109.</w:t>
      </w:r>
    </w:p>
    <w:p w:rsidR="00000000" w:rsidDel="00000000" w:rsidP="00000000" w:rsidRDefault="00000000" w:rsidRPr="00000000" w14:paraId="0000027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Bansiong, A. J., &amp; Balagtey, J. L. M. (2020). Predicting success in teacher education:  </w:t>
      </w:r>
    </w:p>
    <w:p w:rsidR="00000000" w:rsidDel="00000000" w:rsidP="00000000" w:rsidRDefault="00000000" w:rsidRPr="00000000" w14:paraId="0000027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Revisiting the influence of high school GPA, admission, and standardized test scores on academic and licensure performance. </w:t>
      </w:r>
      <w:r w:rsidDel="00000000" w:rsidR="00000000" w:rsidRPr="00000000">
        <w:rPr>
          <w:rFonts w:ascii="Times New Roman" w:cs="Times New Roman" w:eastAsia="Times New Roman" w:hAnsi="Times New Roman"/>
          <w:i w:val="1"/>
          <w:iCs w:val="1"/>
          <w:sz w:val="24"/>
          <w:szCs w:val="24"/>
          <w:rtl w:val="0"/>
        </w:rPr>
        <w:t xml:space="preserve">Journal of Research, Policy &amp; Practice of Teachers and Teacher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(2), 1-17.</w:t>
      </w:r>
    </w:p>
    <w:p w:rsidR="00000000" w:rsidDel="00000000" w:rsidP="00000000" w:rsidRDefault="00000000" w:rsidRPr="00000000" w14:paraId="000002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Bartanen, B., &amp; Kwok, A. (2023). From interest to entry: The teacher pipeline from  </w:t>
      </w:r>
    </w:p>
    <w:p w:rsidR="00000000" w:rsidDel="00000000" w:rsidP="00000000" w:rsidRDefault="00000000" w:rsidRPr="00000000" w14:paraId="0000027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application to initial employment. </w:t>
      </w:r>
      <w:r w:rsidDel="00000000" w:rsidR="00000000" w:rsidRPr="00000000">
        <w:rPr>
          <w:rFonts w:ascii="Times New Roman" w:cs="Times New Roman" w:eastAsia="Times New Roman" w:hAnsi="Times New Roman"/>
          <w:i w:val="1"/>
          <w:iCs w:val="1"/>
          <w:sz w:val="24"/>
          <w:szCs w:val="24"/>
          <w:rtl w:val="0"/>
        </w:rPr>
        <w:t xml:space="preserve">American Educational Research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(5), 941-985.</w:t>
      </w:r>
    </w:p>
    <w:p w:rsidR="00000000" w:rsidDel="00000000" w:rsidP="00000000" w:rsidRDefault="00000000" w:rsidRPr="00000000" w14:paraId="000002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Behr, A., Giese, M., Teguim Kamdjou, H. D., &amp; Theune, K. (2020). Dropping out of  </w:t>
      </w:r>
    </w:p>
    <w:p w:rsidR="00000000" w:rsidDel="00000000" w:rsidP="00000000" w:rsidRDefault="00000000" w:rsidRPr="00000000" w14:paraId="0000027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a literature review. </w:t>
      </w:r>
      <w:r w:rsidDel="00000000" w:rsidR="00000000" w:rsidRPr="00000000">
        <w:rPr>
          <w:rFonts w:ascii="Times New Roman" w:cs="Times New Roman" w:eastAsia="Times New Roman" w:hAnsi="Times New Roman"/>
          <w:i w:val="1"/>
          <w:iCs w:val="1"/>
          <w:sz w:val="24"/>
          <w:szCs w:val="24"/>
          <w:rtl w:val="0"/>
        </w:rPr>
        <w:t xml:space="preserve">Review of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614-652.</w:t>
      </w:r>
    </w:p>
    <w:p w:rsidR="00000000" w:rsidDel="00000000" w:rsidP="00000000" w:rsidRDefault="00000000" w:rsidRPr="00000000" w14:paraId="0000027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Bergstrom, T. L. (2012). Perceived factors influencing the retention rate of Native American college students: A case study. Liberty University.</w:t>
      </w:r>
    </w:p>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M. C. (2020). Trends and barriers regarding attrition among adult learners at a  </w:t>
      </w:r>
    </w:p>
    <w:p w:rsidR="00000000" w:rsidDel="00000000" w:rsidP="00000000" w:rsidRDefault="00000000" w:rsidRPr="00000000" w14:paraId="0000028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college (Doctoral dissertation, Walden University).</w:t>
      </w:r>
    </w:p>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Bulman, G., &amp; Fairlie, R. (2022). The impact of COVID-19 on community college  </w:t>
      </w:r>
    </w:p>
    <w:p w:rsidR="00000000" w:rsidDel="00000000" w:rsidP="00000000" w:rsidRDefault="00000000" w:rsidRPr="00000000" w14:paraId="0000028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enrollment and student success: Evidence from California administrative data. </w:t>
      </w:r>
      <w:r w:rsidDel="00000000" w:rsidR="00000000" w:rsidRPr="00000000">
        <w:rPr>
          <w:rFonts w:ascii="Times New Roman" w:cs="Times New Roman" w:eastAsia="Times New Roman" w:hAnsi="Times New Roman"/>
          <w:i w:val="1"/>
          <w:iCs w:val="1"/>
          <w:sz w:val="24"/>
          <w:szCs w:val="24"/>
          <w:rtl w:val="0"/>
        </w:rPr>
        <w:t xml:space="preserve">Education Finance and Policy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(4), 745-764.</w:t>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Burke, A. (2019). Student retention models in higher education: A literature  </w:t>
      </w:r>
    </w:p>
    <w:p w:rsidR="00000000" w:rsidDel="00000000" w:rsidP="00000000" w:rsidRDefault="00000000" w:rsidRPr="00000000" w14:paraId="0000028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w:t>
      </w:r>
      <w:r w:rsidDel="00000000" w:rsidR="00000000" w:rsidRPr="00000000">
        <w:rPr>
          <w:rFonts w:ascii="Times New Roman" w:cs="Times New Roman" w:eastAsia="Times New Roman" w:hAnsi="Times New Roman"/>
          <w:i w:val="1"/>
          <w:iCs w:val="1"/>
          <w:sz w:val="24"/>
          <w:szCs w:val="24"/>
          <w:rtl w:val="0"/>
        </w:rPr>
        <w:t xml:space="preserve">College and University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94</w:t>
      </w:r>
      <w:r w:rsidDel="00000000" w:rsidR="00000000" w:rsidRPr="00000000">
        <w:rPr>
          <w:rFonts w:ascii="Times New Roman" w:cs="Times New Roman" w:eastAsia="Times New Roman" w:hAnsi="Times New Roman"/>
          <w:sz w:val="24"/>
          <w:szCs w:val="24"/>
          <w:rtl w:val="0"/>
        </w:rPr>
        <w:t xml:space="preserve">(2), 12-21.</w:t>
      </w:r>
    </w:p>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Caballero, B. F. (2020). Higher Education: Factors and Strategies for Student  </w:t>
      </w:r>
    </w:p>
    <w:p w:rsidR="00000000" w:rsidDel="00000000" w:rsidP="00000000" w:rsidRDefault="00000000" w:rsidRPr="00000000" w14:paraId="0000028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Retention. </w:t>
      </w:r>
      <w:r w:rsidDel="00000000" w:rsidR="00000000" w:rsidRPr="00000000">
        <w:rPr>
          <w:rFonts w:ascii="Times New Roman" w:cs="Times New Roman" w:eastAsia="Times New Roman" w:hAnsi="Times New Roman"/>
          <w:i w:val="1"/>
          <w:iCs w:val="1"/>
          <w:sz w:val="24"/>
          <w:szCs w:val="24"/>
          <w:rtl w:val="0"/>
        </w:rPr>
        <w:t xml:space="preserve">HETS Online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Camacho-Thompson, D. E., Gonzales, N. A., &amp; Tein, J. Y. (2019). Parental academic  </w:t>
      </w:r>
    </w:p>
    <w:p w:rsidR="00000000" w:rsidDel="00000000" w:rsidP="00000000" w:rsidRDefault="00000000" w:rsidRPr="00000000" w14:paraId="0000028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involvement across adolescence contextualized by gender and parenting practices. </w:t>
      </w:r>
      <w:r w:rsidDel="00000000" w:rsidR="00000000" w:rsidRPr="00000000">
        <w:rPr>
          <w:rFonts w:ascii="Times New Roman" w:cs="Times New Roman" w:eastAsia="Times New Roman" w:hAnsi="Times New Roman"/>
          <w:i w:val="1"/>
          <w:iCs w:val="1"/>
          <w:sz w:val="24"/>
          <w:szCs w:val="24"/>
          <w:rtl w:val="0"/>
        </w:rPr>
        <w:t xml:space="preserve">School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(4), 386.</w:t>
      </w:r>
    </w:p>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Canty, A. J., Chase, J., Hingston, M., Greenwood, M., Mainsbridge, C. P., &amp; Skalicky, J.  </w:t>
      </w:r>
    </w:p>
    <w:p w:rsidR="00000000" w:rsidDel="00000000" w:rsidP="00000000" w:rsidRDefault="00000000" w:rsidRPr="00000000" w14:paraId="0000029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 Addressing student attrition within higher education online programs through a collaborative community of practice. </w:t>
      </w:r>
      <w:r w:rsidDel="00000000" w:rsidR="00000000" w:rsidRPr="00000000">
        <w:rPr>
          <w:rFonts w:ascii="Times New Roman" w:cs="Times New Roman" w:eastAsia="Times New Roman" w:hAnsi="Times New Roman"/>
          <w:i w:val="1"/>
          <w:iCs w:val="1"/>
          <w:sz w:val="24"/>
          <w:szCs w:val="24"/>
          <w:rtl w:val="0"/>
        </w:rPr>
        <w:t xml:space="preserve">Journal of Applied Learning and Teaching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Castro, A., Quinn, D. J., Fuller, E., &amp; Barnes, M. (2018). Addressing the Importance and  </w:t>
      </w:r>
    </w:p>
    <w:p w:rsidR="00000000" w:rsidDel="00000000" w:rsidP="00000000" w:rsidRDefault="00000000" w:rsidRPr="00000000" w14:paraId="0000029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 of the US Teacher Shortage. </w:t>
      </w:r>
      <w:r w:rsidDel="00000000" w:rsidR="00000000" w:rsidRPr="00000000">
        <w:rPr>
          <w:rFonts w:ascii="Times New Roman" w:cs="Times New Roman" w:eastAsia="Times New Roman" w:hAnsi="Times New Roman"/>
          <w:i w:val="1"/>
          <w:iCs w:val="1"/>
          <w:sz w:val="24"/>
          <w:szCs w:val="24"/>
          <w:rtl w:val="0"/>
        </w:rPr>
        <w:t xml:space="preserve">UCEA Policy Brief 2018-1</w:t>
      </w:r>
      <w:r w:rsidDel="00000000" w:rsidR="00000000" w:rsidRPr="00000000">
        <w:rPr>
          <w:rFonts w:ascii="Times New Roman" w:cs="Times New Roman" w:eastAsia="Times New Roman" w:hAnsi="Times New Roman"/>
          <w:sz w:val="24"/>
          <w:szCs w:val="24"/>
          <w:rtl w:val="0"/>
        </w:rPr>
        <w:t xml:space="preserve">. Online Submission.</w:t>
      </w:r>
    </w:p>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DeAngelo, L., Franke, R., Hurtado, S., Pryor, J. H., &amp; Tran, S. (2011). Completing  </w:t>
      </w:r>
    </w:p>
    <w:p w:rsidR="00000000" w:rsidDel="00000000" w:rsidP="00000000" w:rsidRDefault="00000000" w:rsidRPr="00000000" w14:paraId="0000029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Assessing graduation rates at four-year institutions.</w:t>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Bonifro, F., Gabbrielli, M., Lisanti, G., &amp; Zingaro, S. P. (2020). Student dropout  </w:t>
      </w:r>
    </w:p>
    <w:p w:rsidR="00000000" w:rsidDel="00000000" w:rsidP="00000000" w:rsidRDefault="00000000" w:rsidRPr="00000000" w14:paraId="0000029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prediction. In </w:t>
      </w:r>
      <w:r w:rsidDel="00000000" w:rsidR="00000000" w:rsidRPr="00000000">
        <w:rPr>
          <w:rFonts w:ascii="Times New Roman" w:cs="Times New Roman" w:eastAsia="Times New Roman" w:hAnsi="Times New Roman"/>
          <w:i w:val="1"/>
          <w:iCs w:val="1"/>
          <w:sz w:val="24"/>
          <w:szCs w:val="24"/>
          <w:rtl w:val="0"/>
        </w:rPr>
        <w:t xml:space="preserve">Artificial Intelligence in Education: 21st International Conference, AIED 2020, Ifrane, Morocco, July 6–10, 2020, Proceedings, Part I 21</w:t>
      </w:r>
      <w:r w:rsidDel="00000000" w:rsidR="00000000" w:rsidRPr="00000000">
        <w:rPr>
          <w:rFonts w:ascii="Times New Roman" w:cs="Times New Roman" w:eastAsia="Times New Roman" w:hAnsi="Times New Roman"/>
          <w:sz w:val="24"/>
          <w:szCs w:val="24"/>
          <w:rtl w:val="0"/>
        </w:rPr>
        <w:t xml:space="preserve"> (pp. 129-140). Springer International Publishing.</w:t>
      </w:r>
    </w:p>
    <w:p w:rsidR="00000000" w:rsidDel="00000000" w:rsidP="00000000" w:rsidRDefault="00000000" w:rsidRPr="00000000" w14:paraId="0000029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ind w:left="720" w:hanging="720"/>
        <w:jc w:val="both"/>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Dillard, R. J., &amp; Yu, H. H. (2018). Best practices in student veteran education: Faculty professional development and student veteran success. </w:t>
      </w:r>
      <w:r w:rsidDel="00000000" w:rsidR="00000000" w:rsidRPr="00000000">
        <w:rPr>
          <w:rFonts w:ascii="Times New Roman" w:cs="Times New Roman" w:eastAsia="Times New Roman" w:hAnsi="Times New Roman"/>
          <w:i w:val="1"/>
          <w:iCs w:val="1"/>
          <w:color w:val="222222"/>
          <w:sz w:val="24"/>
          <w:szCs w:val="24"/>
          <w:highlight w:val="white"/>
          <w:rtl w:val="0"/>
        </w:rPr>
        <w:t xml:space="preserve">The Journal of Continuing Higher Education, 66(2), 122-128.</w:t>
      </w:r>
    </w:p>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Dwyer, J. H., González-Espada, W. J., de la Harpe, K., &amp; Meier, D. C. (2020). Factors  </w:t>
      </w:r>
    </w:p>
    <w:p w:rsidR="00000000" w:rsidDel="00000000" w:rsidP="00000000" w:rsidRDefault="00000000" w:rsidRPr="00000000" w14:paraId="0000029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Associated With Students Graduating With STEM Degrees at a Military  </w:t>
      </w:r>
    </w:p>
    <w:p w:rsidR="00000000" w:rsidDel="00000000" w:rsidP="00000000" w:rsidRDefault="00000000" w:rsidRPr="00000000" w14:paraId="000002A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w:t>
      </w:r>
      <w:r w:rsidDel="00000000" w:rsidR="00000000" w:rsidRPr="00000000">
        <w:rPr>
          <w:rFonts w:ascii="Times New Roman" w:cs="Times New Roman" w:eastAsia="Times New Roman" w:hAnsi="Times New Roman"/>
          <w:i w:val="1"/>
          <w:iCs w:val="1"/>
          <w:sz w:val="24"/>
          <w:szCs w:val="24"/>
          <w:rtl w:val="0"/>
        </w:rPr>
        <w:t xml:space="preserve">Journal of College Science Teaching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50</w:t>
      </w:r>
      <w:r w:rsidDel="00000000" w:rsidR="00000000" w:rsidRPr="00000000">
        <w:rPr>
          <w:rFonts w:ascii="Times New Roman" w:cs="Times New Roman" w:eastAsia="Times New Roman" w:hAnsi="Times New Roman"/>
          <w:sz w:val="24"/>
          <w:szCs w:val="24"/>
          <w:rtl w:val="0"/>
        </w:rPr>
        <w:t xml:space="preserve">(1), 28-35.</w:t>
      </w:r>
    </w:p>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Fu, X. (2017). Rethinking graduation and time to degree: A fresh perspective. </w:t>
      </w:r>
      <w:r w:rsidDel="00000000" w:rsidR="00000000" w:rsidRPr="00000000">
        <w:rPr>
          <w:rFonts w:ascii="Times New Roman" w:cs="Times New Roman" w:eastAsia="Times New Roman" w:hAnsi="Times New Roman"/>
          <w:i w:val="1"/>
          <w:iCs w:val="1"/>
          <w:sz w:val="24"/>
          <w:szCs w:val="24"/>
          <w:rtl w:val="0"/>
        </w:rPr>
        <w:t xml:space="preserve">Research  </w:t>
      </w:r>
    </w:p>
    <w:p w:rsidR="00000000" w:rsidDel="00000000" w:rsidP="00000000" w:rsidRDefault="00000000" w:rsidRPr="00000000" w14:paraId="000002A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 Higher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58</w:t>
      </w:r>
      <w:r w:rsidDel="00000000" w:rsidR="00000000" w:rsidRPr="00000000">
        <w:rPr>
          <w:rFonts w:ascii="Times New Roman" w:cs="Times New Roman" w:eastAsia="Times New Roman" w:hAnsi="Times New Roman"/>
          <w:sz w:val="24"/>
          <w:szCs w:val="24"/>
          <w:rtl w:val="0"/>
        </w:rPr>
        <w:t xml:space="preserve">, 184-213.</w:t>
      </w:r>
    </w:p>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Gallego, J. C. G. (2021). Identifying students at risk to academic dropout in higher  </w:t>
      </w:r>
    </w:p>
    <w:p w:rsidR="00000000" w:rsidDel="00000000" w:rsidP="00000000" w:rsidRDefault="00000000" w:rsidRPr="00000000" w14:paraId="000002A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w:t>
      </w:r>
      <w:r w:rsidDel="00000000" w:rsidR="00000000" w:rsidRPr="00000000">
        <w:rPr>
          <w:rFonts w:ascii="Times New Roman" w:cs="Times New Roman" w:eastAsia="Times New Roman" w:hAnsi="Times New Roman"/>
          <w:i w:val="1"/>
          <w:iCs w:val="1"/>
          <w:sz w:val="24"/>
          <w:szCs w:val="24"/>
          <w:rtl w:val="0"/>
        </w:rPr>
        <w:t xml:space="preserve">Education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(8), 427.</w:t>
      </w:r>
    </w:p>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Gaydosh, L., Schorpp, K. M., Chen, E., Miller, G. E., &amp; Harris, K. M. (2018). College </w:t>
      </w:r>
    </w:p>
    <w:p w:rsidR="00000000" w:rsidDel="00000000" w:rsidP="00000000" w:rsidRDefault="00000000" w:rsidRPr="00000000" w14:paraId="000002A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 predicts lower depression but higher metabolic syndrome among disadvantaged minorities in young adulthood. </w:t>
      </w:r>
      <w:r w:rsidDel="00000000" w:rsidR="00000000" w:rsidRPr="00000000">
        <w:rPr>
          <w:rFonts w:ascii="Times New Roman" w:cs="Times New Roman" w:eastAsia="Times New Roman" w:hAnsi="Times New Roman"/>
          <w:i w:val="1"/>
          <w:iCs w:val="1"/>
          <w:sz w:val="24"/>
          <w:szCs w:val="24"/>
          <w:rtl w:val="0"/>
        </w:rPr>
        <w:t xml:space="preserve">Proceedings of the National Academy of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115</w:t>
      </w:r>
      <w:r w:rsidDel="00000000" w:rsidR="00000000" w:rsidRPr="00000000">
        <w:rPr>
          <w:rFonts w:ascii="Times New Roman" w:cs="Times New Roman" w:eastAsia="Times New Roman" w:hAnsi="Times New Roman"/>
          <w:sz w:val="24"/>
          <w:szCs w:val="24"/>
          <w:rtl w:val="0"/>
        </w:rPr>
        <w:t xml:space="preserve">(1), 109-114.</w:t>
      </w:r>
    </w:p>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Gilmer, T. (2007). An understanding of the improved grades, retention and graduation  </w:t>
      </w:r>
    </w:p>
    <w:p w:rsidR="00000000" w:rsidDel="00000000" w:rsidP="00000000" w:rsidRDefault="00000000" w:rsidRPr="00000000" w14:paraId="000002A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rates of STEM majors at the Academic Investment in Math and Science (AIMS) Program of Bowling Green State University (BGSU). </w:t>
      </w:r>
      <w:r w:rsidDel="00000000" w:rsidR="00000000" w:rsidRPr="00000000">
        <w:rPr>
          <w:rFonts w:ascii="Times New Roman" w:cs="Times New Roman" w:eastAsia="Times New Roman" w:hAnsi="Times New Roman"/>
          <w:i w:val="1"/>
          <w:iCs w:val="1"/>
          <w:sz w:val="24"/>
          <w:szCs w:val="24"/>
          <w:rtl w:val="0"/>
        </w:rPr>
        <w:t xml:space="preserve">Journal of STEM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Gonzales, N. A., &amp; Tein, J. Y. (2019). Parental academic involvement across adolescence  </w:t>
      </w:r>
    </w:p>
    <w:p w:rsidR="00000000" w:rsidDel="00000000" w:rsidP="00000000" w:rsidRDefault="00000000" w:rsidRPr="00000000" w14:paraId="000002A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contextualized by gender and parenting practices. </w:t>
      </w:r>
      <w:r w:rsidDel="00000000" w:rsidR="00000000" w:rsidRPr="00000000">
        <w:rPr>
          <w:rFonts w:ascii="Times New Roman" w:cs="Times New Roman" w:eastAsia="Times New Roman" w:hAnsi="Times New Roman"/>
          <w:i w:val="1"/>
          <w:iCs w:val="1"/>
          <w:sz w:val="24"/>
          <w:szCs w:val="24"/>
          <w:rtl w:val="0"/>
        </w:rPr>
        <w:t xml:space="preserve">School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(4), 386.</w:t>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Greenland, S. J., &amp; Moore, C. (2022). Large qualitative sample and thematic analysis to  </w:t>
      </w:r>
    </w:p>
    <w:p w:rsidR="00000000" w:rsidDel="00000000" w:rsidP="00000000" w:rsidRDefault="00000000" w:rsidRPr="00000000" w14:paraId="000002B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redefine student dropout and retention strategy in open online education. </w:t>
      </w:r>
      <w:r w:rsidDel="00000000" w:rsidR="00000000" w:rsidRPr="00000000">
        <w:rPr>
          <w:rFonts w:ascii="Times New Roman" w:cs="Times New Roman" w:eastAsia="Times New Roman" w:hAnsi="Times New Roman"/>
          <w:i w:val="1"/>
          <w:iCs w:val="1"/>
          <w:sz w:val="24"/>
          <w:szCs w:val="24"/>
          <w:rtl w:val="0"/>
        </w:rPr>
        <w:t xml:space="preserve">British Journal of Educational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(3), 647-667.</w:t>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Harris, D. N., Chen, F., Martin, R. C., Bernhardt, A. F., Marsicano, C. R., &amp; Von Hippel,  </w:t>
      </w:r>
    </w:p>
    <w:p w:rsidR="00000000" w:rsidDel="00000000" w:rsidP="00000000" w:rsidRDefault="00000000" w:rsidRPr="00000000" w14:paraId="000002B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 (2024). The Effects of the COVID-19 Pandemic on Educational Attainment. </w:t>
      </w:r>
      <w:r w:rsidDel="00000000" w:rsidR="00000000" w:rsidRPr="00000000">
        <w:rPr>
          <w:rFonts w:ascii="Times New Roman" w:cs="Times New Roman" w:eastAsia="Times New Roman" w:hAnsi="Times New Roman"/>
          <w:i w:val="1"/>
          <w:iCs w:val="1"/>
          <w:sz w:val="24"/>
          <w:szCs w:val="24"/>
          <w:rtl w:val="0"/>
        </w:rPr>
        <w:t xml:space="preserve">RSF: The Russell Sage Foundation Journal of the Social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152-180. Retrieve on April 2024.</w:t>
      </w:r>
    </w:p>
    <w:p w:rsidR="00000000" w:rsidDel="00000000" w:rsidP="00000000" w:rsidRDefault="00000000" w:rsidRPr="00000000" w14:paraId="000002B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ind w:left="720" w:hanging="720"/>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Hussaini, A., Bawa, N., &amp; Sani, N. M. (2022). Relationship between students entry qualifications and academic performance in Shehu Shagari College of Education, Sokoto-Nigeria. </w:t>
      </w:r>
      <w:r w:rsidDel="00000000" w:rsidR="00000000" w:rsidRPr="00000000">
        <w:rPr>
          <w:rFonts w:ascii="Times New Roman" w:cs="Times New Roman" w:eastAsia="Times New Roman" w:hAnsi="Times New Roman"/>
          <w:i w:val="1"/>
          <w:iCs w:val="1"/>
          <w:color w:val="222222"/>
          <w:sz w:val="24"/>
          <w:szCs w:val="24"/>
          <w:highlight w:val="white"/>
          <w:rtl w:val="0"/>
        </w:rPr>
        <w:t xml:space="preserve">International Journal of Modern Social Sciences, 11(1), 1-9.</w:t>
      </w:r>
    </w:p>
    <w:p w:rsidR="00000000" w:rsidDel="00000000" w:rsidP="00000000" w:rsidRDefault="00000000" w:rsidRPr="00000000" w14:paraId="000002B8">
      <w:pPr>
        <w:ind w:left="720" w:hanging="720"/>
        <w:rPr>
          <w:rFonts w:ascii="Times New Roman" w:cs="Times New Roman" w:eastAsia="Times New Roman" w:hAnsi="Times New Roman"/>
          <w:i w:val="1"/>
          <w:iCs w:val="1"/>
          <w:color w:val="222222"/>
          <w:sz w:val="24"/>
          <w:szCs w:val="24"/>
          <w:highlight w:val="white"/>
        </w:rPr>
      </w:pPr>
      <w:r w:rsidDel="00000000" w:rsidR="00000000" w:rsidRPr="00000000">
        <w:rPr>
          <w:rtl w:val="0"/>
        </w:rPr>
      </w:r>
    </w:p>
    <w:p w:rsidR="00000000" w:rsidDel="00000000" w:rsidP="00000000" w:rsidRDefault="00000000" w:rsidRPr="00000000" w14:paraId="000002B9">
      <w:pPr>
        <w:ind w:left="720" w:hanging="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Ishitani, T. T., &amp; Kamer, J. A. (2022). Exploring First-Generation Students’ Collegiate Outcomes: Longitudinal Comparison of Dropout and Transfer Behaviors. </w:t>
      </w:r>
      <w:r w:rsidDel="00000000" w:rsidR="00000000" w:rsidRPr="00000000">
        <w:rPr>
          <w:rFonts w:ascii="Times New Roman" w:cs="Times New Roman" w:eastAsia="Times New Roman" w:hAnsi="Times New Roman"/>
          <w:i w:val="1"/>
          <w:iCs w:val="1"/>
          <w:sz w:val="24"/>
          <w:szCs w:val="24"/>
          <w:rtl w:val="0"/>
        </w:rPr>
        <w:t xml:space="preserve">Journal of College Student Retention: Research, Theory &amp; Practice, 15210251221127934.</w:t>
      </w:r>
    </w:p>
    <w:p w:rsidR="00000000" w:rsidDel="00000000" w:rsidP="00000000" w:rsidRDefault="00000000" w:rsidRPr="00000000" w14:paraId="000002BA">
      <w:pPr>
        <w:ind w:left="720" w:hanging="720"/>
        <w:rPr>
          <w:rFonts w:ascii="Times New Roman" w:cs="Times New Roman" w:eastAsia="Times New Roman" w:hAnsi="Times New Roman"/>
          <w:i w:val="1"/>
          <w:iCs w:val="1"/>
          <w:color w:val="222222"/>
          <w:sz w:val="24"/>
          <w:szCs w:val="24"/>
          <w:highlight w:val="white"/>
        </w:rPr>
      </w:pPr>
      <w:r w:rsidDel="00000000" w:rsidR="00000000" w:rsidRPr="00000000">
        <w:rPr>
          <w:rtl w:val="0"/>
        </w:rPr>
      </w:r>
    </w:p>
    <w:p w:rsidR="00000000" w:rsidDel="00000000" w:rsidP="00000000" w:rsidRDefault="00000000" w:rsidRPr="00000000" w14:paraId="000002BB">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Jumadi, A., Yusop, H., Bakar, N. F. A., &amp; Bakar, N. A. (2020). Graduate on Time: Factors of Failure in UiTM Cawangan Johor. </w:t>
      </w:r>
      <w:r w:rsidDel="00000000" w:rsidR="00000000" w:rsidRPr="00000000">
        <w:rPr>
          <w:rFonts w:ascii="Times New Roman" w:cs="Times New Roman" w:eastAsia="Times New Roman" w:hAnsi="Times New Roman"/>
          <w:i w:val="1"/>
          <w:iCs w:val="1"/>
          <w:sz w:val="24"/>
          <w:szCs w:val="24"/>
          <w:rtl w:val="0"/>
        </w:rPr>
        <w:t xml:space="preserve">The Asian Journal of Professional &amp; Business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BC">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ind w:left="720" w:hanging="720"/>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Lei, S. A., &amp; Lei, S. Y. (2019). General education curricula affecting satisfaction and retention of undergraduate students: A review of literature. </w:t>
      </w:r>
      <w:r w:rsidDel="00000000" w:rsidR="00000000" w:rsidRPr="00000000">
        <w:rPr>
          <w:rFonts w:ascii="Times New Roman" w:cs="Times New Roman" w:eastAsia="Times New Roman" w:hAnsi="Times New Roman"/>
          <w:i w:val="1"/>
          <w:iCs w:val="1"/>
          <w:color w:val="222222"/>
          <w:sz w:val="24"/>
          <w:szCs w:val="24"/>
          <w:highlight w:val="white"/>
          <w:rtl w:val="0"/>
        </w:rPr>
        <w:t xml:space="preserve">Education, 139(4), 197-202.</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Z. A., &amp; Noor, M. F. M. (2023). Factors Influencing Dropout Students in Higher Education. </w:t>
      </w:r>
      <w:r w:rsidDel="00000000" w:rsidR="00000000" w:rsidRPr="00000000">
        <w:rPr>
          <w:rFonts w:ascii="Times New Roman" w:cs="Times New Roman" w:eastAsia="Times New Roman" w:hAnsi="Times New Roman"/>
          <w:i w:val="1"/>
          <w:iCs w:val="1"/>
          <w:sz w:val="24"/>
          <w:szCs w:val="24"/>
          <w:rtl w:val="0"/>
        </w:rPr>
        <w:t xml:space="preserve">Education Research 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2023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0">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ind w:left="720" w:hanging="720"/>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Martin, J. P., Stefl, S. K., Cain, L. W., &amp; Pfirman, A. L. (2020). Understanding first-generation undergraduate engineering students’ entry and persistence through social capital theory. </w:t>
      </w:r>
      <w:r w:rsidDel="00000000" w:rsidR="00000000" w:rsidRPr="00000000">
        <w:rPr>
          <w:rFonts w:ascii="Times New Roman" w:cs="Times New Roman" w:eastAsia="Times New Roman" w:hAnsi="Times New Roman"/>
          <w:i w:val="1"/>
          <w:iCs w:val="1"/>
          <w:color w:val="222222"/>
          <w:sz w:val="24"/>
          <w:szCs w:val="24"/>
          <w:highlight w:val="white"/>
          <w:rtl w:val="0"/>
        </w:rPr>
        <w:t xml:space="preserve">International Journal of STEM Education, 7, 1-22.</w:t>
      </w:r>
    </w:p>
    <w:p w:rsidR="00000000" w:rsidDel="00000000" w:rsidP="00000000" w:rsidRDefault="00000000" w:rsidRPr="00000000" w14:paraId="000002C2">
      <w:pPr>
        <w:ind w:left="720" w:hanging="72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2C3">
      <w:pPr>
        <w:ind w:left="720" w:hanging="720"/>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Millea, M., Wills, R., Elder, A., &amp; Molina, D. (2018). What matters in college student success? </w:t>
      </w:r>
      <w:r w:rsidDel="00000000" w:rsidR="00000000" w:rsidRPr="00000000">
        <w:rPr>
          <w:rFonts w:ascii="Times New Roman" w:cs="Times New Roman" w:eastAsia="Times New Roman" w:hAnsi="Times New Roman"/>
          <w:i w:val="1"/>
          <w:iCs w:val="1"/>
          <w:color w:val="222222"/>
          <w:sz w:val="24"/>
          <w:szCs w:val="24"/>
          <w:highlight w:val="white"/>
          <w:rtl w:val="0"/>
        </w:rPr>
        <w:t xml:space="preserve">Determinants of college retention and graduation rates. Education, 138(4), 309-322.</w:t>
      </w:r>
    </w:p>
    <w:p w:rsidR="00000000" w:rsidDel="00000000" w:rsidP="00000000" w:rsidRDefault="00000000" w:rsidRPr="00000000" w14:paraId="000002C4">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Nieuwoudt, J. E., &amp; Pedler, M. L. (2023). Student retention in higher education: Why students choose to remain at university. </w:t>
      </w:r>
      <w:r w:rsidDel="00000000" w:rsidR="00000000" w:rsidRPr="00000000">
        <w:rPr>
          <w:rFonts w:ascii="Times New Roman" w:cs="Times New Roman" w:eastAsia="Times New Roman" w:hAnsi="Times New Roman"/>
          <w:i w:val="1"/>
          <w:iCs w:val="1"/>
          <w:sz w:val="24"/>
          <w:szCs w:val="24"/>
          <w:rtl w:val="0"/>
        </w:rPr>
        <w:t xml:space="preserve">Journal of College Student Retention: Research, Theory &amp; Practice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(2), 326-349.</w:t>
      </w:r>
    </w:p>
    <w:p w:rsidR="00000000" w:rsidDel="00000000" w:rsidP="00000000" w:rsidRDefault="00000000" w:rsidRPr="00000000" w14:paraId="000002C8">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Nurmalitasari, Awang Long, Z., &amp; Faizuddin Mohd Noor, M. (2023). Factors influencing dropout students in higher education. Education Research International, 2023(1), 7704142.</w:t>
      </w:r>
    </w:p>
    <w:p w:rsidR="00000000" w:rsidDel="00000000" w:rsidP="00000000" w:rsidRDefault="00000000" w:rsidRPr="00000000" w14:paraId="000002C9">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Pruett, C. D. (2009). Assessing factors influencing student success at Mississippi's public universities as measured by bachelor's degree completion. Mississippi State University.</w:t>
      </w:r>
    </w:p>
    <w:p w:rsidR="00000000" w:rsidDel="00000000" w:rsidP="00000000" w:rsidRDefault="00000000" w:rsidRPr="00000000" w14:paraId="000002CB">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ind w:left="720" w:hanging="720"/>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Schweig, J., Hamilton, L. S., &amp; Baker, G. (2019). School and classroom climate measures. </w:t>
      </w:r>
      <w:r w:rsidDel="00000000" w:rsidR="00000000" w:rsidRPr="00000000">
        <w:rPr>
          <w:rFonts w:ascii="Times New Roman" w:cs="Times New Roman" w:eastAsia="Times New Roman" w:hAnsi="Times New Roman"/>
          <w:i w:val="1"/>
          <w:iCs w:val="1"/>
          <w:color w:val="222222"/>
          <w:sz w:val="24"/>
          <w:szCs w:val="24"/>
          <w:highlight w:val="white"/>
          <w:rtl w:val="0"/>
        </w:rPr>
        <w:t xml:space="preserve">Rand Corporation.</w:t>
      </w:r>
    </w:p>
    <w:p w:rsidR="00000000" w:rsidDel="00000000" w:rsidP="00000000" w:rsidRDefault="00000000" w:rsidRPr="00000000" w14:paraId="000002CD">
      <w:pPr>
        <w:ind w:left="720" w:hanging="720"/>
        <w:rPr>
          <w:rFonts w:ascii="Times New Roman" w:cs="Times New Roman" w:eastAsia="Times New Roman" w:hAnsi="Times New Roman"/>
          <w:i w:val="1"/>
          <w:iCs w:val="1"/>
          <w:color w:val="222222"/>
          <w:sz w:val="24"/>
          <w:szCs w:val="24"/>
          <w:highlight w:val="white"/>
        </w:rPr>
      </w:pPr>
      <w:r w:rsidDel="00000000" w:rsidR="00000000" w:rsidRPr="00000000">
        <w:rPr>
          <w:rtl w:val="0"/>
        </w:rPr>
      </w:r>
    </w:p>
    <w:p w:rsidR="00000000" w:rsidDel="00000000" w:rsidP="00000000" w:rsidRDefault="00000000" w:rsidRPr="00000000" w14:paraId="000002CE">
      <w:pPr>
        <w:ind w:left="720" w:hanging="72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Shilbayeh, S., &amp; Abonamah, A. (2021). Predicting student enrollments and attrition patterns in higher educational institutions using machine learning. </w:t>
      </w:r>
      <w:r w:rsidDel="00000000" w:rsidR="00000000" w:rsidRPr="00000000">
        <w:rPr>
          <w:rFonts w:ascii="Times New Roman" w:cs="Times New Roman" w:eastAsia="Times New Roman" w:hAnsi="Times New Roman"/>
          <w:i w:val="1"/>
          <w:iCs w:val="1"/>
          <w:color w:val="222222"/>
          <w:sz w:val="24"/>
          <w:szCs w:val="24"/>
          <w:highlight w:val="white"/>
          <w:rtl w:val="0"/>
        </w:rPr>
        <w:t xml:space="preserve">Int. Arab J. Inf. Technol., 18(4), 562-567.</w:t>
      </w:r>
      <w:r w:rsidDel="00000000" w:rsidR="00000000" w:rsidRPr="00000000">
        <w:rPr>
          <w:rtl w:val="0"/>
        </w:rPr>
      </w:r>
    </w:p>
    <w:p w:rsidR="00000000" w:rsidDel="00000000" w:rsidP="00000000" w:rsidRDefault="00000000" w:rsidRPr="00000000" w14:paraId="000002CF">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Sidhu, G. K., Kannan, S., Shamida, A., &amp; Du, R. (2023). Sustaining Students’ Quality Learning Environment by Reviewing Factors to Graduate-on-Time: A case study. </w:t>
      </w:r>
      <w:r w:rsidDel="00000000" w:rsidR="00000000" w:rsidRPr="00000000">
        <w:rPr>
          <w:rFonts w:ascii="Times New Roman" w:cs="Times New Roman" w:eastAsia="Times New Roman" w:hAnsi="Times New Roman"/>
          <w:i w:val="1"/>
          <w:iCs w:val="1"/>
          <w:sz w:val="24"/>
          <w:szCs w:val="24"/>
          <w:rtl w:val="0"/>
        </w:rPr>
        <w:t xml:space="preserve">Environment-Behaviour Proceedings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(24), 127-133.</w:t>
      </w:r>
    </w:p>
    <w:p w:rsidR="00000000" w:rsidDel="00000000" w:rsidP="00000000" w:rsidRDefault="00000000" w:rsidRPr="00000000" w14:paraId="000002D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Smith, M. D. (2023). The Relationship of Admission Practices in Radiologic Technology Programs to Attrition in Four-Year Universities (Doctoral dissertation, University of South Alabama).</w:t>
      </w:r>
    </w:p>
    <w:p w:rsidR="00000000" w:rsidDel="00000000" w:rsidP="00000000" w:rsidRDefault="00000000" w:rsidRPr="00000000" w14:paraId="000002D2">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ind w:left="720" w:hanging="720"/>
        <w:jc w:val="both"/>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Shoulders, C., Simmons, L., &amp; Johnson, D. (2020). Pre-entry attributes and freshman satisfaction, grades, and engagement as predictors of six-year college graduation. </w:t>
      </w:r>
      <w:r w:rsidDel="00000000" w:rsidR="00000000" w:rsidRPr="00000000">
        <w:rPr>
          <w:rFonts w:ascii="Times New Roman" w:cs="Times New Roman" w:eastAsia="Times New Roman" w:hAnsi="Times New Roman"/>
          <w:i w:val="1"/>
          <w:iCs w:val="1"/>
          <w:color w:val="222222"/>
          <w:sz w:val="24"/>
          <w:szCs w:val="24"/>
          <w:highlight w:val="white"/>
          <w:rtl w:val="0"/>
        </w:rPr>
        <w:t xml:space="preserve">College Student Journal, 54(3), 327-338.</w:t>
      </w:r>
    </w:p>
    <w:p w:rsidR="00000000" w:rsidDel="00000000" w:rsidP="00000000" w:rsidRDefault="00000000" w:rsidRPr="00000000" w14:paraId="000002D4">
      <w:pPr>
        <w:ind w:left="720" w:hanging="720"/>
        <w:jc w:val="both"/>
        <w:rPr>
          <w:rFonts w:ascii="Times New Roman" w:cs="Times New Roman" w:eastAsia="Times New Roman" w:hAnsi="Times New Roman"/>
          <w:i w:val="1"/>
          <w:iCs w:val="1"/>
          <w:color w:val="222222"/>
          <w:sz w:val="24"/>
          <w:szCs w:val="24"/>
          <w:highlight w:val="white"/>
        </w:rPr>
      </w:pPr>
      <w:r w:rsidDel="00000000" w:rsidR="00000000" w:rsidRPr="00000000">
        <w:rPr>
          <w:rtl w:val="0"/>
        </w:rPr>
      </w:r>
    </w:p>
    <w:p w:rsidR="00000000" w:rsidDel="00000000" w:rsidP="00000000" w:rsidRDefault="00000000" w:rsidRPr="00000000" w14:paraId="000002D5">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Styles, T. (2011). Factors influencing the successful completion of the General Educational Development (GED) preparation program as perceived by the students. Capella University.</w:t>
      </w:r>
    </w:p>
    <w:p w:rsidR="00000000" w:rsidDel="00000000" w:rsidP="00000000" w:rsidRDefault="00000000" w:rsidRPr="00000000" w14:paraId="000002D6">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Subedi, L. N. (2022). FACTORS INFLUENCING STUDENTS'DROPOUT IN BACHELOR'S DEGREE FACULTY OF EDUCATION KALIKA MULTIPLE CAMPUS.</w:t>
      </w:r>
    </w:p>
    <w:p w:rsidR="00000000" w:rsidDel="00000000" w:rsidP="00000000" w:rsidRDefault="00000000" w:rsidRPr="00000000" w14:paraId="000002D8">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ind w:left="720" w:hanging="720"/>
        <w:jc w:val="both"/>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Tinto, V. (2017). Through the eyes of students. Journal of college student retention: </w:t>
      </w:r>
      <w:r w:rsidDel="00000000" w:rsidR="00000000" w:rsidRPr="00000000">
        <w:rPr>
          <w:rFonts w:ascii="Times New Roman" w:cs="Times New Roman" w:eastAsia="Times New Roman" w:hAnsi="Times New Roman"/>
          <w:i w:val="1"/>
          <w:iCs w:val="1"/>
          <w:color w:val="222222"/>
          <w:sz w:val="24"/>
          <w:szCs w:val="24"/>
          <w:highlight w:val="white"/>
          <w:rtl w:val="0"/>
        </w:rPr>
        <w:t xml:space="preserve">Research, theory &amp; practice, 19(3), 254-269.</w:t>
      </w:r>
    </w:p>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ind w:left="720" w:hanging="720"/>
        <w:jc w:val="both"/>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Xu, D., &amp; Solanki, S. (2020). Tenure-track appointment for teaching-oriented faculty? The impact of teaching and research faculty on student outcomes. </w:t>
      </w:r>
      <w:r w:rsidDel="00000000" w:rsidR="00000000" w:rsidRPr="00000000">
        <w:rPr>
          <w:rFonts w:ascii="Times New Roman" w:cs="Times New Roman" w:eastAsia="Times New Roman" w:hAnsi="Times New Roman"/>
          <w:i w:val="1"/>
          <w:iCs w:val="1"/>
          <w:color w:val="222222"/>
          <w:sz w:val="24"/>
          <w:szCs w:val="24"/>
          <w:highlight w:val="white"/>
          <w:rtl w:val="0"/>
        </w:rPr>
        <w:t xml:space="preserve">Educational Evaluation and Policy Analysis, 42(1), 66-86.</w:t>
      </w:r>
    </w:p>
    <w:p w:rsidR="00000000" w:rsidDel="00000000" w:rsidP="00000000" w:rsidRDefault="00000000" w:rsidRPr="00000000" w14:paraId="000002DC">
      <w:pPr>
        <w:ind w:left="720" w:hanging="720"/>
        <w:jc w:val="both"/>
        <w:rPr>
          <w:rFonts w:ascii="Times New Roman" w:cs="Times New Roman" w:eastAsia="Times New Roman" w:hAnsi="Times New Roman"/>
          <w:i w:val="1"/>
          <w:iCs w:val="1"/>
          <w:color w:val="222222"/>
          <w:sz w:val="24"/>
          <w:szCs w:val="24"/>
          <w:highlight w:val="white"/>
        </w:rPr>
      </w:pPr>
      <w:r w:rsidDel="00000000" w:rsidR="00000000" w:rsidRPr="00000000">
        <w:rPr>
          <w:rtl w:val="0"/>
        </w:rPr>
      </w:r>
    </w:p>
    <w:p w:rsidR="00000000" w:rsidDel="00000000" w:rsidP="00000000" w:rsidRDefault="00000000" w:rsidRPr="00000000" w14:paraId="000002DD">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W., &amp; Koshmanova, T. (2020). Relationship between factors and graduation rates for student success in the US college. In </w:t>
      </w:r>
      <w:r w:rsidDel="00000000" w:rsidR="00000000" w:rsidRPr="00000000">
        <w:rPr>
          <w:rFonts w:ascii="Times New Roman" w:cs="Times New Roman" w:eastAsia="Times New Roman" w:hAnsi="Times New Roman"/>
          <w:i w:val="1"/>
          <w:iCs w:val="1"/>
          <w:sz w:val="24"/>
          <w:szCs w:val="24"/>
          <w:rtl w:val="0"/>
        </w:rPr>
        <w:t xml:space="preserve">Proceeding of the 9th European Conference on Education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E">
      <w:pPr>
        <w:spacing w:line="480" w:lineRule="auto"/>
        <w:jc w:val="both"/>
        <w:rPr>
          <w:rFonts w:ascii="Times New Roman" w:cs="Times New Roman" w:eastAsia="Times New Roman" w:hAnsi="Times New Roman"/>
          <w:sz w:val="24"/>
          <w:szCs w:val="24"/>
        </w:rPr>
      </w:pPr>
      <w:r w:rsidDel="00000000" w:rsidR="00000000" w:rsidRPr="00000000">
        <w:rPr/>
        <w:drawing>
          <wp:inline distB="0" distT="0" distL="0" distR="0">
            <wp:extent cx="5486400" cy="7315200"/>
            <wp:effectExtent b="0" l="0" r="0" t="0"/>
            <wp:docPr id="2121996515"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486400" cy="7315200"/>
                    </a:xfrm>
                    <a:prstGeom prst="rect"/>
                    <a:ln/>
                  </pic:spPr>
                </pic:pic>
              </a:graphicData>
            </a:graphic>
          </wp:inline>
        </w:drawing>
      </w:r>
      <w:r w:rsidDel="00000000" w:rsidR="00000000" w:rsidRPr="00000000">
        <w:rPr>
          <w:rtl w:val="0"/>
        </w:rPr>
      </w:r>
    </w:p>
    <w:p w:rsidR="00000000" w:rsidDel="00000000" w:rsidP="00000000" w:rsidRDefault="00000000" w:rsidRPr="00000000" w14:paraId="000002D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24"/>
          <w:szCs w:val="24"/>
          <w:rtl w:val="0"/>
        </w:rPr>
        <w:t xml:space="preserve">CURRICULUM VITAE</w:t>
      </w:r>
      <w:r w:rsidDel="00000000" w:rsidR="00000000" w:rsidRPr="00000000">
        <w:rPr>
          <w:rtl w:val="0"/>
        </w:rPr>
      </w:r>
    </w:p>
    <w:p w:rsidR="00000000" w:rsidDel="00000000" w:rsidP="00000000" w:rsidRDefault="00000000" w:rsidRPr="00000000" w14:paraId="000002E2">
      <w:pPr>
        <w:spacing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PERSONAL DATA</w:t>
      </w:r>
      <w:r w:rsidDel="00000000" w:rsidR="00000000" w:rsidRPr="00000000">
        <w:drawing>
          <wp:anchor allowOverlap="1" behindDoc="0" distB="0" distT="0" distL="114300" distR="114300" hidden="0" layoutInCell="1" locked="0" relativeHeight="0" simplePos="0">
            <wp:simplePos x="0" y="0"/>
            <wp:positionH relativeFrom="column">
              <wp:posOffset>4267200</wp:posOffset>
            </wp:positionH>
            <wp:positionV relativeFrom="paragraph">
              <wp:posOffset>110489</wp:posOffset>
            </wp:positionV>
            <wp:extent cx="1624330" cy="1657350"/>
            <wp:effectExtent b="0" l="0" r="0" t="0"/>
            <wp:wrapSquare wrapText="bothSides" distB="0" distT="0" distL="114300" distR="114300"/>
            <wp:docPr id="212199651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624330" cy="1657350"/>
                    </a:xfrm>
                    <a:prstGeom prst="rect"/>
                    <a:ln/>
                  </pic:spPr>
                </pic:pic>
              </a:graphicData>
            </a:graphic>
          </wp:anchor>
        </w:drawing>
      </w:r>
    </w:p>
    <w:p w:rsidR="00000000" w:rsidDel="00000000" w:rsidP="00000000" w:rsidRDefault="00000000" w:rsidRPr="00000000" w14:paraId="000002E3">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Name</w:t>
        <w:tab/>
        <w:t xml:space="preserve">: Mellia Flor L. Lapinid</w:t>
        <w:tab/>
      </w:r>
    </w:p>
    <w:p w:rsidR="00000000" w:rsidDel="00000000" w:rsidP="00000000" w:rsidRDefault="00000000" w:rsidRPr="00000000" w14:paraId="000002E4">
      <w:pPr>
        <w:tabs>
          <w:tab w:val="left" w:leader="none" w:pos="720"/>
          <w:tab w:val="left" w:leader="none" w:pos="2160"/>
          <w:tab w:val="left" w:leader="none" w:pos="2880"/>
          <w:tab w:val="right" w:leader="none" w:pos="864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Address</w:t>
        <w:tab/>
        <w:t xml:space="preserve">: P-7 , Malingao , Tubod , Lanao Del Norte </w:t>
        <w:tab/>
        <w:t xml:space="preserve">    </w:t>
      </w:r>
    </w:p>
    <w:p w:rsidR="00000000" w:rsidDel="00000000" w:rsidP="00000000" w:rsidRDefault="00000000" w:rsidRPr="00000000" w14:paraId="000002E5">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Date of Birth</w:t>
        <w:tab/>
        <w:t xml:space="preserve">: February 27, 2003</w:t>
      </w:r>
    </w:p>
    <w:p w:rsidR="00000000" w:rsidDel="00000000" w:rsidP="00000000" w:rsidRDefault="00000000" w:rsidRPr="00000000" w14:paraId="000002E6">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Place of Birth</w:t>
        <w:tab/>
        <w:t xml:space="preserve">: Tubod , Lanao Del Norte</w:t>
      </w:r>
    </w:p>
    <w:p w:rsidR="00000000" w:rsidDel="00000000" w:rsidP="00000000" w:rsidRDefault="00000000" w:rsidRPr="00000000" w14:paraId="000002E7">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Sex</w:t>
        <w:tab/>
        <w:t xml:space="preserve">: Female</w:t>
      </w:r>
    </w:p>
    <w:p w:rsidR="00000000" w:rsidDel="00000000" w:rsidP="00000000" w:rsidRDefault="00000000" w:rsidRPr="00000000" w14:paraId="000002E8">
      <w:pPr>
        <w:tabs>
          <w:tab w:val="left" w:leader="none" w:pos="720"/>
          <w:tab w:val="left" w:leader="none" w:pos="2160"/>
          <w:tab w:val="left" w:leader="none" w:pos="2880"/>
        </w:tabs>
        <w:spacing w:before="24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Civil Status</w:t>
        <w:tab/>
        <w:t xml:space="preserve">: Single </w:t>
      </w:r>
    </w:p>
    <w:p w:rsidR="00000000" w:rsidDel="00000000" w:rsidP="00000000" w:rsidRDefault="00000000" w:rsidRPr="00000000" w14:paraId="000002E9">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Parents</w:t>
        <w:tab/>
        <w:tab/>
        <w:t xml:space="preserve">: Mr. &amp; Mrs. Emelia L. Lapinid </w:t>
      </w:r>
    </w:p>
    <w:p w:rsidR="00000000" w:rsidDel="00000000" w:rsidP="00000000" w:rsidRDefault="00000000" w:rsidRPr="00000000" w14:paraId="000002EA">
      <w:pPr>
        <w:tabs>
          <w:tab w:val="left" w:leader="none" w:pos="720"/>
          <w:tab w:val="left" w:leader="none" w:pos="2160"/>
          <w:tab w:val="left" w:leader="none" w:pos="2880"/>
        </w:tabs>
        <w:spacing w:befor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EB">
      <w:pPr>
        <w:tabs>
          <w:tab w:val="left" w:leader="none" w:pos="720"/>
          <w:tab w:val="left" w:leader="none" w:pos="2160"/>
          <w:tab w:val="left" w:leader="none" w:pos="2880"/>
        </w:tabs>
        <w:spacing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EDUCATION</w:t>
      </w:r>
    </w:p>
    <w:p w:rsidR="00000000" w:rsidDel="00000000" w:rsidP="00000000" w:rsidRDefault="00000000" w:rsidRPr="00000000" w14:paraId="000002EC">
      <w:pPr>
        <w:tabs>
          <w:tab w:val="left" w:leader="none" w:pos="720"/>
          <w:tab w:val="left" w:leader="none" w:pos="2160"/>
          <w:tab w:val="left" w:leader="none" w:pos="2880"/>
        </w:tabs>
        <w:spacing w:before="240" w:lineRule="auto"/>
        <w:jc w:val="both"/>
        <w:rPr>
          <w:rFonts w:ascii="Times New Roman" w:cs="Times New Roman" w:eastAsia="Times New Roman" w:hAnsi="Times New Roman"/>
          <w:b w:val="1"/>
          <w:bCs w:val="1"/>
          <w:color w:val="000000"/>
          <w:sz w:val="4"/>
          <w:szCs w:val="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College</w:t>
        <w:tab/>
        <w:t xml:space="preserve">: </w:t>
        <w:tab/>
        <w:t xml:space="preserve">Bachelor of Secondary Education Major in Mathematics</w:t>
      </w:r>
    </w:p>
    <w:p w:rsidR="00000000" w:rsidDel="00000000" w:rsidP="00000000" w:rsidRDefault="00000000" w:rsidRPr="00000000" w14:paraId="000002EE">
      <w:pPr>
        <w:ind w:left="216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Misamis University</w:t>
      </w:r>
    </w:p>
    <w:p w:rsidR="00000000" w:rsidDel="00000000" w:rsidP="00000000" w:rsidRDefault="00000000" w:rsidRPr="00000000" w14:paraId="000002EF">
      <w:pPr>
        <w:ind w:left="216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Ozamiz City, Misamis Occidental</w:t>
      </w:r>
    </w:p>
    <w:p w:rsidR="00000000" w:rsidDel="00000000" w:rsidP="00000000" w:rsidRDefault="00000000" w:rsidRPr="00000000" w14:paraId="000002F0">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1">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Secondary </w:t>
        <w:tab/>
        <w:t xml:space="preserve">: </w:t>
        <w:tab/>
        <w:t xml:space="preserve">Senior High School</w:t>
      </w:r>
    </w:p>
    <w:p w:rsidR="00000000" w:rsidDel="00000000" w:rsidP="00000000" w:rsidRDefault="00000000" w:rsidRPr="00000000" w14:paraId="000002F2">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Misamis University</w:t>
      </w:r>
    </w:p>
    <w:p w:rsidR="00000000" w:rsidDel="00000000" w:rsidP="00000000" w:rsidRDefault="00000000" w:rsidRPr="00000000" w14:paraId="000002F3">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Ozamiz City, Misamis Occidental</w:t>
      </w:r>
    </w:p>
    <w:p w:rsidR="00000000" w:rsidDel="00000000" w:rsidP="00000000" w:rsidRDefault="00000000" w:rsidRPr="00000000" w14:paraId="000002F4">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March 2020-2021</w:t>
      </w:r>
    </w:p>
    <w:p w:rsidR="00000000" w:rsidDel="00000000" w:rsidP="00000000" w:rsidRDefault="00000000" w:rsidRPr="00000000" w14:paraId="000002F5">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6">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Junior High School</w:t>
      </w:r>
    </w:p>
    <w:p w:rsidR="00000000" w:rsidDel="00000000" w:rsidP="00000000" w:rsidRDefault="00000000" w:rsidRPr="00000000" w14:paraId="000002F7">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Lanao Del Norte Provincial Science and Technology  </w:t>
      </w:r>
    </w:p>
    <w:p w:rsidR="00000000" w:rsidDel="00000000" w:rsidP="00000000" w:rsidRDefault="00000000" w:rsidRPr="00000000" w14:paraId="000002F8">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Highschool </w:t>
      </w:r>
    </w:p>
    <w:p w:rsidR="00000000" w:rsidDel="00000000" w:rsidP="00000000" w:rsidRDefault="00000000" w:rsidRPr="00000000" w14:paraId="000002F9">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Malingao, Tubod, Lanao Del Norte </w:t>
      </w:r>
    </w:p>
    <w:p w:rsidR="00000000" w:rsidDel="00000000" w:rsidP="00000000" w:rsidRDefault="00000000" w:rsidRPr="00000000" w14:paraId="000002FA">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March 2018-2019</w:t>
      </w:r>
    </w:p>
    <w:p w:rsidR="00000000" w:rsidDel="00000000" w:rsidP="00000000" w:rsidRDefault="00000000" w:rsidRPr="00000000" w14:paraId="000002FB">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C">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Elementary</w:t>
        <w:tab/>
        <w:t xml:space="preserve">: </w:t>
        <w:tab/>
        <w:t xml:space="preserve">Malingao Central School</w:t>
      </w:r>
    </w:p>
    <w:p w:rsidR="00000000" w:rsidDel="00000000" w:rsidP="00000000" w:rsidRDefault="00000000" w:rsidRPr="00000000" w14:paraId="000002FD">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Malingao, Tubod, Lanao Del Norte </w:t>
      </w:r>
    </w:p>
    <w:p w:rsidR="00000000" w:rsidDel="00000000" w:rsidP="00000000" w:rsidRDefault="00000000" w:rsidRPr="00000000" w14:paraId="000002FE">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March 2014-2015</w:t>
      </w:r>
    </w:p>
    <w:p w:rsidR="00000000" w:rsidDel="00000000" w:rsidP="00000000" w:rsidRDefault="00000000" w:rsidRPr="00000000" w14:paraId="000002FF">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0">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1">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2">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3">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4">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5">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6">
      <w:pPr>
        <w:tabs>
          <w:tab w:val="left" w:leader="none" w:pos="720"/>
          <w:tab w:val="left" w:leader="none" w:pos="2160"/>
          <w:tab w:val="left" w:leader="none" w:pos="2880"/>
        </w:tabs>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CURRICULUM VITAE</w:t>
      </w:r>
      <w:r w:rsidDel="00000000" w:rsidR="00000000" w:rsidRPr="00000000">
        <w:rPr>
          <w:rtl w:val="0"/>
        </w:rPr>
      </w:r>
    </w:p>
    <w:p w:rsidR="00000000" w:rsidDel="00000000" w:rsidP="00000000" w:rsidRDefault="00000000" w:rsidRPr="00000000" w14:paraId="00000307">
      <w:pPr>
        <w:spacing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PERSONAL DATA</w:t>
      </w: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4251278</wp:posOffset>
            </wp:positionH>
            <wp:positionV relativeFrom="paragraph">
              <wp:posOffset>152144</wp:posOffset>
            </wp:positionV>
            <wp:extent cx="1378424" cy="1341411"/>
            <wp:effectExtent b="0" l="0" r="0" t="0"/>
            <wp:wrapNone/>
            <wp:docPr id="2121996513"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1378424" cy="1341411"/>
                    </a:xfrm>
                    <a:prstGeom prst="rect"/>
                    <a:ln/>
                  </pic:spPr>
                </pic:pic>
              </a:graphicData>
            </a:graphic>
          </wp:anchor>
        </w:drawing>
      </w:r>
    </w:p>
    <w:p w:rsidR="00000000" w:rsidDel="00000000" w:rsidP="00000000" w:rsidRDefault="00000000" w:rsidRPr="00000000" w14:paraId="00000308">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Name</w:t>
        <w:tab/>
        <w:t xml:space="preserve">: Jemard C. Quipit</w:t>
        <w:tab/>
      </w:r>
    </w:p>
    <w:p w:rsidR="00000000" w:rsidDel="00000000" w:rsidP="00000000" w:rsidRDefault="00000000" w:rsidRPr="00000000" w14:paraId="00000309">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Address</w:t>
        <w:tab/>
        <w:t xml:space="preserve">: P-5, Bongbong, Ozamiz City, Misamis </w:t>
      </w:r>
    </w:p>
    <w:p w:rsidR="00000000" w:rsidDel="00000000" w:rsidP="00000000" w:rsidRDefault="00000000" w:rsidRPr="00000000" w14:paraId="0000030A">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  Occidental  </w:t>
      </w:r>
    </w:p>
    <w:p w:rsidR="00000000" w:rsidDel="00000000" w:rsidP="00000000" w:rsidRDefault="00000000" w:rsidRPr="00000000" w14:paraId="0000030B">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Date of Birth</w:t>
        <w:tab/>
        <w:t xml:space="preserve">: May 29, 1990</w:t>
      </w:r>
    </w:p>
    <w:p w:rsidR="00000000" w:rsidDel="00000000" w:rsidP="00000000" w:rsidRDefault="00000000" w:rsidRPr="00000000" w14:paraId="0000030C">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Place of Birth</w:t>
        <w:tab/>
        <w:t xml:space="preserve">: Poblacion Dinas, Zamboanga Del Sur</w:t>
      </w:r>
    </w:p>
    <w:p w:rsidR="00000000" w:rsidDel="00000000" w:rsidP="00000000" w:rsidRDefault="00000000" w:rsidRPr="00000000" w14:paraId="0000030D">
      <w:pPr>
        <w:tabs>
          <w:tab w:val="left" w:leader="none" w:pos="720"/>
          <w:tab w:val="left" w:leader="none" w:pos="2160"/>
          <w:tab w:val="left" w:leader="none" w:pos="2880"/>
        </w:tabs>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Sex</w:t>
        <w:tab/>
        <w:t xml:space="preserve">: Male</w:t>
      </w:r>
    </w:p>
    <w:p w:rsidR="00000000" w:rsidDel="00000000" w:rsidP="00000000" w:rsidRDefault="00000000" w:rsidRPr="00000000" w14:paraId="0000030E">
      <w:pPr>
        <w:tabs>
          <w:tab w:val="left" w:leader="none" w:pos="720"/>
          <w:tab w:val="left" w:leader="none" w:pos="2160"/>
          <w:tab w:val="left" w:leader="none" w:pos="2880"/>
        </w:tabs>
        <w:spacing w:before="24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Civil Status</w:t>
        <w:tab/>
        <w:t xml:space="preserve">: Married</w:t>
      </w:r>
    </w:p>
    <w:p w:rsidR="00000000" w:rsidDel="00000000" w:rsidP="00000000" w:rsidRDefault="00000000" w:rsidRPr="00000000" w14:paraId="0000030F">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Spouse </w:t>
        <w:tab/>
        <w:t xml:space="preserve">: Mirasol C. Quipit</w:t>
      </w:r>
    </w:p>
    <w:p w:rsidR="00000000" w:rsidDel="00000000" w:rsidP="00000000" w:rsidRDefault="00000000" w:rsidRPr="00000000" w14:paraId="00000310">
      <w:pPr>
        <w:tabs>
          <w:tab w:val="left" w:leader="none" w:pos="720"/>
          <w:tab w:val="left" w:leader="none" w:pos="2160"/>
          <w:tab w:val="left" w:leader="none" w:pos="2880"/>
        </w:tabs>
        <w:spacing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EDUCATION</w:t>
      </w:r>
    </w:p>
    <w:p w:rsidR="00000000" w:rsidDel="00000000" w:rsidP="00000000" w:rsidRDefault="00000000" w:rsidRPr="00000000" w14:paraId="0000031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College</w:t>
        <w:tab/>
        <w:t xml:space="preserve">: </w:t>
        <w:tab/>
        <w:t xml:space="preserve">Bachelor of Secondary Education Major in Mathematics</w:t>
      </w:r>
    </w:p>
    <w:p w:rsidR="00000000" w:rsidDel="00000000" w:rsidP="00000000" w:rsidRDefault="00000000" w:rsidRPr="00000000" w14:paraId="00000312">
      <w:pPr>
        <w:ind w:left="216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Misamis University</w:t>
      </w:r>
    </w:p>
    <w:p w:rsidR="00000000" w:rsidDel="00000000" w:rsidP="00000000" w:rsidRDefault="00000000" w:rsidRPr="00000000" w14:paraId="00000313">
      <w:pPr>
        <w:ind w:left="216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Ozamiz City, Misamis Occidental</w:t>
      </w:r>
    </w:p>
    <w:p w:rsidR="00000000" w:rsidDel="00000000" w:rsidP="00000000" w:rsidRDefault="00000000" w:rsidRPr="00000000" w14:paraId="00000314">
      <w:pPr>
        <w:ind w:left="2160"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5">
      <w:pPr>
        <w:ind w:left="28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Bachelor of Science in Business Administration Major in Business Economics</w:t>
      </w:r>
    </w:p>
    <w:p w:rsidR="00000000" w:rsidDel="00000000" w:rsidP="00000000" w:rsidRDefault="00000000" w:rsidRPr="00000000" w14:paraId="00000316">
      <w:pPr>
        <w:ind w:left="216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Misamis University</w:t>
      </w:r>
    </w:p>
    <w:p w:rsidR="00000000" w:rsidDel="00000000" w:rsidP="00000000" w:rsidRDefault="00000000" w:rsidRPr="00000000" w14:paraId="00000317">
      <w:pPr>
        <w:ind w:left="216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Ozamiz City, Misamis Occidental</w:t>
      </w:r>
    </w:p>
    <w:p w:rsidR="00000000" w:rsidDel="00000000" w:rsidP="00000000" w:rsidRDefault="00000000" w:rsidRPr="00000000" w14:paraId="00000318">
      <w:pPr>
        <w:ind w:left="28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2007 </w:t>
      </w:r>
    </w:p>
    <w:p w:rsidR="00000000" w:rsidDel="00000000" w:rsidP="00000000" w:rsidRDefault="00000000" w:rsidRPr="00000000" w14:paraId="00000319">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A">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Vocational</w:t>
        <w:tab/>
        <w:t xml:space="preserve">:</w:t>
        <w:tab/>
        <w:t xml:space="preserve">HRM</w:t>
      </w:r>
    </w:p>
    <w:p w:rsidR="00000000" w:rsidDel="00000000" w:rsidP="00000000" w:rsidRDefault="00000000" w:rsidRPr="00000000" w14:paraId="0000031B">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Mindanao Master Technical Training Center Inc.</w:t>
      </w:r>
    </w:p>
    <w:p w:rsidR="00000000" w:rsidDel="00000000" w:rsidP="00000000" w:rsidRDefault="00000000" w:rsidRPr="00000000" w14:paraId="0000031C">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2006</w:t>
      </w:r>
    </w:p>
    <w:p w:rsidR="00000000" w:rsidDel="00000000" w:rsidP="00000000" w:rsidRDefault="00000000" w:rsidRPr="00000000" w14:paraId="0000031D">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r>
    </w:p>
    <w:p w:rsidR="00000000" w:rsidDel="00000000" w:rsidP="00000000" w:rsidRDefault="00000000" w:rsidRPr="00000000" w14:paraId="0000031E">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Refrigeration and Aircondition Technician</w:t>
      </w:r>
    </w:p>
    <w:p w:rsidR="00000000" w:rsidDel="00000000" w:rsidP="00000000" w:rsidRDefault="00000000" w:rsidRPr="00000000" w14:paraId="0000031F">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Mindanao Master Technical Training Center Inc.</w:t>
      </w:r>
    </w:p>
    <w:p w:rsidR="00000000" w:rsidDel="00000000" w:rsidP="00000000" w:rsidRDefault="00000000" w:rsidRPr="00000000" w14:paraId="00000320">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2012</w:t>
      </w:r>
    </w:p>
    <w:p w:rsidR="00000000" w:rsidDel="00000000" w:rsidP="00000000" w:rsidRDefault="00000000" w:rsidRPr="00000000" w14:paraId="00000321">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2">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Secondary </w:t>
        <w:tab/>
        <w:t xml:space="preserve">: </w:t>
        <w:tab/>
        <w:t xml:space="preserve">Junior High School</w:t>
      </w:r>
    </w:p>
    <w:p w:rsidR="00000000" w:rsidDel="00000000" w:rsidP="00000000" w:rsidRDefault="00000000" w:rsidRPr="00000000" w14:paraId="00000323">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Proper Dimaya National High School</w:t>
      </w:r>
    </w:p>
    <w:p w:rsidR="00000000" w:rsidDel="00000000" w:rsidP="00000000" w:rsidRDefault="00000000" w:rsidRPr="00000000" w14:paraId="00000324">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Dinas, Zamboanga Del Sur</w:t>
      </w:r>
    </w:p>
    <w:p w:rsidR="00000000" w:rsidDel="00000000" w:rsidP="00000000" w:rsidRDefault="00000000" w:rsidRPr="00000000" w14:paraId="00000325">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March 2005-2006</w:t>
      </w:r>
    </w:p>
    <w:p w:rsidR="00000000" w:rsidDel="00000000" w:rsidP="00000000" w:rsidRDefault="00000000" w:rsidRPr="00000000" w14:paraId="00000326">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7">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Elementary</w:t>
        <w:tab/>
        <w:t xml:space="preserve">: </w:t>
        <w:tab/>
        <w:t xml:space="preserve">Sambulawan Elementary School</w:t>
      </w:r>
    </w:p>
    <w:p w:rsidR="00000000" w:rsidDel="00000000" w:rsidP="00000000" w:rsidRDefault="00000000" w:rsidRPr="00000000" w14:paraId="00000328">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Dinas, Zamboanga Del Sur</w:t>
      </w:r>
    </w:p>
    <w:p w:rsidR="00000000" w:rsidDel="00000000" w:rsidP="00000000" w:rsidRDefault="00000000" w:rsidRPr="00000000" w14:paraId="00000329">
      <w:pPr>
        <w:tabs>
          <w:tab w:val="left" w:leader="none" w:pos="720"/>
          <w:tab w:val="left" w:leader="none" w:pos="2160"/>
          <w:tab w:val="left" w:leader="none" w:pos="288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 xml:space="preserve">March 2000-2001</w:t>
      </w:r>
    </w:p>
    <w:p w:rsidR="00000000" w:rsidDel="00000000" w:rsidP="00000000" w:rsidRDefault="00000000" w:rsidRPr="00000000" w14:paraId="0000032A">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spacing w:after="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line="480" w:lineRule="auto"/>
        <w:jc w:val="both"/>
        <w:rPr>
          <w:rFonts w:ascii="Times New Roman" w:cs="Times New Roman" w:eastAsia="Times New Roman" w:hAnsi="Times New Roman"/>
          <w:sz w:val="24"/>
          <w:szCs w:val="24"/>
        </w:rPr>
      </w:pPr>
      <w:r w:rsidDel="00000000" w:rsidR="00000000" w:rsidRPr="00000000">
        <w:rPr>
          <w:rtl w:val="0"/>
        </w:rPr>
      </w:r>
    </w:p>
    <w:sectPr>
      <w:headerReference r:id="rId16" w:type="default"/>
      <w:pgSz w:h="15840" w:w="12240" w:orient="portrait"/>
      <w:pgMar w:bottom="1440" w:top="1440" w:left="21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webkit-standar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4350E"/>
    <w:pPr>
      <w:spacing w:after="200" w:line="276" w:lineRule="auto"/>
      <w:ind w:left="720"/>
      <w:contextualSpacing w:val="1"/>
    </w:pPr>
    <w:rPr>
      <w:sz w:val="22"/>
      <w:szCs w:val="22"/>
    </w:rPr>
  </w:style>
  <w:style w:type="paragraph" w:styleId="p1" w:customStyle="1">
    <w:name w:val="p1"/>
    <w:basedOn w:val="Normal"/>
    <w:rsid w:val="004C4929"/>
    <w:rPr>
      <w:rFonts w:ascii=".AppleSystemUIFont" w:hAnsi=".AppleSystemUIFont" w:eastAsiaTheme="minorEastAsia"/>
      <w:sz w:val="26"/>
      <w:szCs w:val="26"/>
      <w:lang w:val="en-PH"/>
    </w:rPr>
  </w:style>
  <w:style w:type="paragraph" w:styleId="p2" w:customStyle="1">
    <w:name w:val="p2"/>
    <w:basedOn w:val="Normal"/>
    <w:rsid w:val="004C4929"/>
    <w:rPr>
      <w:rFonts w:ascii=".AppleSystemUIFont" w:hAnsi=".AppleSystemUIFont" w:eastAsiaTheme="minorEastAsia"/>
      <w:sz w:val="26"/>
      <w:szCs w:val="26"/>
      <w:lang w:val="en-PH"/>
    </w:rPr>
  </w:style>
  <w:style w:type="character" w:styleId="s1" w:customStyle="1">
    <w:name w:val="s1"/>
    <w:basedOn w:val="DefaultParagraphFont"/>
    <w:rsid w:val="004C4929"/>
    <w:rPr>
      <w:rFonts w:ascii="UICTFontTextStyleBody" w:hAnsi="UICTFontTextStyleBody" w:hint="default"/>
      <w:b w:val="0"/>
      <w:bCs w:val="0"/>
      <w:i w:val="0"/>
      <w:iCs w:val="0"/>
      <w:sz w:val="26"/>
      <w:szCs w:val="26"/>
    </w:rPr>
  </w:style>
  <w:style w:type="character" w:styleId="s2" w:customStyle="1">
    <w:name w:val="s2"/>
    <w:basedOn w:val="DefaultParagraphFont"/>
    <w:rsid w:val="00632F88"/>
    <w:rPr>
      <w:rFonts w:ascii="UICTFontTextStyleItalicBody" w:hAnsi="UICTFontTextStyleItalicBody" w:hint="default"/>
      <w:b w:val="0"/>
      <w:bCs w:val="0"/>
      <w:i w:val="1"/>
      <w:iCs w:val="1"/>
      <w:sz w:val="26"/>
      <w:szCs w:val="26"/>
    </w:rPr>
  </w:style>
  <w:style w:type="character" w:styleId="apple-converted-space" w:customStyle="1">
    <w:name w:val="apple-converted-space"/>
    <w:basedOn w:val="DefaultParagraphFont"/>
    <w:rsid w:val="00632F88"/>
  </w:style>
  <w:style w:type="character" w:styleId="apple-tab-span" w:customStyle="1">
    <w:name w:val="apple-tab-span"/>
    <w:basedOn w:val="DefaultParagraphFont"/>
    <w:rsid w:val="00D63773"/>
  </w:style>
  <w:style w:type="paragraph" w:styleId="Header">
    <w:name w:val="header"/>
    <w:basedOn w:val="Normal"/>
    <w:link w:val="HeaderChar"/>
    <w:uiPriority w:val="99"/>
    <w:unhideWhenUsed w:val="1"/>
    <w:rsid w:val="007833DE"/>
    <w:pPr>
      <w:tabs>
        <w:tab w:val="center" w:pos="4680"/>
        <w:tab w:val="right" w:pos="9360"/>
      </w:tabs>
    </w:pPr>
  </w:style>
  <w:style w:type="character" w:styleId="HeaderChar" w:customStyle="1">
    <w:name w:val="Header Char"/>
    <w:basedOn w:val="DefaultParagraphFont"/>
    <w:link w:val="Header"/>
    <w:uiPriority w:val="99"/>
    <w:rsid w:val="007833DE"/>
    <w:rPr>
      <w:rFonts w:ascii="Calibri" w:cs="Times New Roman" w:eastAsia="Calibri" w:hAnsi="Calibri"/>
      <w:kern w:val="0"/>
      <w:sz w:val="20"/>
      <w:szCs w:val="20"/>
    </w:rPr>
  </w:style>
  <w:style w:type="paragraph" w:styleId="Footer">
    <w:name w:val="footer"/>
    <w:basedOn w:val="Normal"/>
    <w:link w:val="FooterChar"/>
    <w:uiPriority w:val="99"/>
    <w:unhideWhenUsed w:val="1"/>
    <w:rsid w:val="007833DE"/>
    <w:pPr>
      <w:tabs>
        <w:tab w:val="center" w:pos="4680"/>
        <w:tab w:val="right" w:pos="9360"/>
      </w:tabs>
    </w:pPr>
  </w:style>
  <w:style w:type="character" w:styleId="FooterChar" w:customStyle="1">
    <w:name w:val="Footer Char"/>
    <w:basedOn w:val="DefaultParagraphFont"/>
    <w:link w:val="Footer"/>
    <w:uiPriority w:val="99"/>
    <w:rsid w:val="007833DE"/>
    <w:rPr>
      <w:rFonts w:ascii="Calibri" w:cs="Times New Roman" w:eastAsia="Calibri" w:hAnsi="Calibri"/>
      <w:kern w:val="0"/>
      <w:sz w:val="20"/>
      <w:szCs w:val="20"/>
    </w:rPr>
  </w:style>
  <w:style w:type="table" w:styleId="TableGrid1" w:customStyle="1">
    <w:name w:val="Table Grid1"/>
    <w:basedOn w:val="TableNormal"/>
    <w:next w:val="TableGrid"/>
    <w:uiPriority w:val="39"/>
    <w:unhideWhenUsed w:val="1"/>
    <w:qFormat w:val="1"/>
    <w:rsid w:val="008F5032"/>
    <w:pPr>
      <w:spacing w:after="0" w:line="240" w:lineRule="auto"/>
      <w:jc w:val="both"/>
    </w:pPr>
    <w:rPr>
      <w:rFonts w:ascii="Calibri" w:cs="Times New Roman" w:eastAsia="Calibri" w:hAnsi="Calibri"/>
      <w:kern w:val="0"/>
      <w:lang w:eastAsia="en-PH" w:val="en-PH"/>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
    <w:name w:val="Table Grid"/>
    <w:basedOn w:val="TableNormal"/>
    <w:uiPriority w:val="39"/>
    <w:rsid w:val="008F50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985BE9"/>
    <w:rPr>
      <w:color w:val="0563c1" w:themeColor="hyperlink"/>
      <w:u w:val="single"/>
    </w:rPr>
  </w:style>
  <w:style w:type="character" w:styleId="UnresolvedMention" w:customStyle="1">
    <w:name w:val="Unresolved Mention"/>
    <w:basedOn w:val="DefaultParagraphFont"/>
    <w:uiPriority w:val="99"/>
    <w:semiHidden w:val="1"/>
    <w:unhideWhenUsed w:val="1"/>
    <w:rsid w:val="00985BE9"/>
    <w:rPr>
      <w:color w:val="605e5c"/>
      <w:shd w:color="auto" w:fill="e1dfdd" w:val="clear"/>
    </w:rPr>
  </w:style>
  <w:style w:type="table" w:styleId="PlainTable3">
    <w:name w:val="Plain Table 3"/>
    <w:basedOn w:val="TableNormal"/>
    <w:uiPriority w:val="43"/>
    <w:rsid w:val="00730C6C"/>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character" w:styleId="bumpedfont15" w:customStyle="1">
    <w:name w:val="bumpedfont15"/>
    <w:basedOn w:val="DefaultParagraphFont"/>
    <w:rsid w:val="003C07A7"/>
  </w:style>
  <w:style w:type="paragraph" w:styleId="NormalWeb">
    <w:name w:val="Normal (Web)"/>
    <w:basedOn w:val="Normal"/>
    <w:uiPriority w:val="99"/>
    <w:unhideWhenUsed w:val="1"/>
    <w:rsid w:val="007E5AFA"/>
    <w:pPr>
      <w:spacing w:after="100" w:afterAutospacing="1" w:before="100" w:beforeAutospacing="1"/>
    </w:pPr>
    <w:rPr>
      <w:rFonts w:ascii="Times New Roman" w:eastAsia="Times New Roman" w:hAnsi="Times New Roman"/>
      <w:sz w:val="24"/>
      <w:szCs w:val="24"/>
    </w:rPr>
  </w:style>
  <w:style w:type="paragraph" w:styleId="s15" w:customStyle="1">
    <w:name w:val="s15"/>
    <w:basedOn w:val="Normal"/>
    <w:rsid w:val="00B656AC"/>
    <w:pPr>
      <w:spacing w:after="100" w:afterAutospacing="1" w:before="100" w:beforeAutospacing="1"/>
    </w:pPr>
    <w:rPr>
      <w:rFonts w:ascii="Times New Roman" w:hAnsi="Times New Roman" w:eastAsiaTheme="minorEastAsia"/>
      <w:sz w:val="24"/>
      <w:szCs w:val="24"/>
      <w:lang w:val="en-PH"/>
    </w:rPr>
  </w:style>
  <w:style w:type="paragraph" w:styleId="s25" w:customStyle="1">
    <w:name w:val="s25"/>
    <w:basedOn w:val="Normal"/>
    <w:rsid w:val="00B656AC"/>
    <w:pPr>
      <w:spacing w:after="100" w:afterAutospacing="1" w:before="100" w:beforeAutospacing="1"/>
    </w:pPr>
    <w:rPr>
      <w:rFonts w:ascii="Times New Roman" w:hAnsi="Times New Roman" w:eastAsiaTheme="minorEastAsia"/>
      <w:sz w:val="24"/>
      <w:szCs w:val="24"/>
      <w:lang w:val="en-P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5.xml"/><Relationship Id="rId10" Type="http://schemas.openxmlformats.org/officeDocument/2006/relationships/chart" Target="charts/chart2.xml"/><Relationship Id="rId13" Type="http://schemas.openxmlformats.org/officeDocument/2006/relationships/image" Target="media/image2.jpg"/><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5" Type="http://schemas.openxmlformats.org/officeDocument/2006/relationships/image" Target="media/image3.jpg"/><Relationship Id="rId14" Type="http://schemas.openxmlformats.org/officeDocument/2006/relationships/image" Target="media/image1.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Administrator\Desktop\Tally%20Final%20Data.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Administrator\Desktop\RESEARCHSUPERFINAL\Tally%20Final%20Data.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Administrator\Desktop\RESEARCHSUPERFINAL\Tally%20Final%20Data.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Administrator\Desktop\RESEARCHSUPERFINAL\Tally%20Final%20Data.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C:\Users\Administrator\Desktop\RESEARCHSUPERFINAL\Tally%20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FINALLY!$D$2</c:f>
              <c:strCache>
                <c:ptCount val="1"/>
                <c:pt idx="0">
                  <c:v>Number of Students BEED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FINALLY!$B$3:$C$24</c:f>
              <c:multiLvlStrCache>
                <c:ptCount val="22"/>
                <c:lvl>
                  <c:pt idx="0">
                    <c:v>First Sem 2013</c:v>
                  </c:pt>
                  <c:pt idx="1">
                    <c:v>Second Sem 2013</c:v>
                  </c:pt>
                  <c:pt idx="2">
                    <c:v>First Sem 2014</c:v>
                  </c:pt>
                  <c:pt idx="3">
                    <c:v>Second Sem 2014</c:v>
                  </c:pt>
                  <c:pt idx="4">
                    <c:v>First Sem 2015</c:v>
                  </c:pt>
                  <c:pt idx="5">
                    <c:v>Second Sem 2015</c:v>
                  </c:pt>
                  <c:pt idx="6">
                    <c:v>First Sem 2016</c:v>
                  </c:pt>
                  <c:pt idx="7">
                    <c:v>Second Sem 2016</c:v>
                  </c:pt>
                  <c:pt idx="8">
                    <c:v> First Sem 2017</c:v>
                  </c:pt>
                  <c:pt idx="9">
                    <c:v>Second Sem 2017</c:v>
                  </c:pt>
                  <c:pt idx="10">
                    <c:v>First Sem 2018</c:v>
                  </c:pt>
                  <c:pt idx="11">
                    <c:v>Second Sem 2018</c:v>
                  </c:pt>
                  <c:pt idx="12">
                    <c:v>First Sem 2019</c:v>
                  </c:pt>
                  <c:pt idx="13">
                    <c:v>Second Sem 2019</c:v>
                  </c:pt>
                  <c:pt idx="14">
                    <c:v>First Sem 2020</c:v>
                  </c:pt>
                  <c:pt idx="15">
                    <c:v>Second Sem 2020</c:v>
                  </c:pt>
                  <c:pt idx="16">
                    <c:v>First Sem 2021</c:v>
                  </c:pt>
                  <c:pt idx="17">
                    <c:v>Second Sem 2021</c:v>
                  </c:pt>
                  <c:pt idx="18">
                    <c:v>First Sem 2022</c:v>
                  </c:pt>
                  <c:pt idx="19">
                    <c:v>Second Sem 2022</c:v>
                  </c:pt>
                  <c:pt idx="20">
                    <c:v>First Sem 2023</c:v>
                  </c:pt>
                  <c:pt idx="21">
                    <c:v>Second Sem 2023</c:v>
                  </c:pt>
                </c:lvl>
                <c:lvl>
                  <c:pt idx="0">
                    <c:v>BEED &amp; BSED</c:v>
                  </c:pt>
                </c:lvl>
              </c:multiLvlStrCache>
            </c:multiLvlStrRef>
          </c:cat>
          <c:val>
            <c:numRef>
              <c:f>FINALLY!$D$3:$D$24</c:f>
              <c:numCache>
                <c:formatCode>General</c:formatCode>
                <c:ptCount val="22"/>
                <c:pt idx="0">
                  <c:v>48</c:v>
                </c:pt>
                <c:pt idx="1">
                  <c:v>36</c:v>
                </c:pt>
                <c:pt idx="2">
                  <c:v>74</c:v>
                </c:pt>
                <c:pt idx="3">
                  <c:v>48</c:v>
                </c:pt>
                <c:pt idx="4">
                  <c:v>57</c:v>
                </c:pt>
                <c:pt idx="5">
                  <c:v>47</c:v>
                </c:pt>
                <c:pt idx="6">
                  <c:v>5</c:v>
                </c:pt>
                <c:pt idx="7">
                  <c:v>0</c:v>
                </c:pt>
                <c:pt idx="8">
                  <c:v>0</c:v>
                </c:pt>
                <c:pt idx="9">
                  <c:v>0</c:v>
                </c:pt>
                <c:pt idx="10">
                  <c:v>26</c:v>
                </c:pt>
                <c:pt idx="11">
                  <c:v>25</c:v>
                </c:pt>
                <c:pt idx="12">
                  <c:v>32</c:v>
                </c:pt>
                <c:pt idx="13">
                  <c:v>25</c:v>
                </c:pt>
                <c:pt idx="14">
                  <c:v>9</c:v>
                </c:pt>
                <c:pt idx="15">
                  <c:v>8</c:v>
                </c:pt>
                <c:pt idx="16">
                  <c:v>23</c:v>
                </c:pt>
                <c:pt idx="17">
                  <c:v>21</c:v>
                </c:pt>
                <c:pt idx="18">
                  <c:v>50</c:v>
                </c:pt>
                <c:pt idx="19">
                  <c:v>29</c:v>
                </c:pt>
                <c:pt idx="20">
                  <c:v>11</c:v>
                </c:pt>
                <c:pt idx="21">
                  <c:v>6</c:v>
                </c:pt>
              </c:numCache>
            </c:numRef>
          </c:val>
          <c:smooth val="0"/>
          <c:extLst>
            <c:ext xmlns:c16="http://schemas.microsoft.com/office/drawing/2014/chart" uri="{C3380CC4-5D6E-409C-BE32-E72D297353CC}">
              <c16:uniqueId val="{00000000-9C25-48AD-980C-A29524832D3F}"/>
            </c:ext>
          </c:extLst>
        </c:ser>
        <c:ser>
          <c:idx val="1"/>
          <c:order val="1"/>
          <c:tx>
            <c:strRef>
              <c:f>FINALLY!$E$2</c:f>
              <c:strCache>
                <c:ptCount val="1"/>
                <c:pt idx="0">
                  <c:v>Number of Students BSED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FINALLY!$B$3:$C$24</c:f>
              <c:multiLvlStrCache>
                <c:ptCount val="22"/>
                <c:lvl>
                  <c:pt idx="0">
                    <c:v>First Sem 2013</c:v>
                  </c:pt>
                  <c:pt idx="1">
                    <c:v>Second Sem 2013</c:v>
                  </c:pt>
                  <c:pt idx="2">
                    <c:v>First Sem 2014</c:v>
                  </c:pt>
                  <c:pt idx="3">
                    <c:v>Second Sem 2014</c:v>
                  </c:pt>
                  <c:pt idx="4">
                    <c:v>First Sem 2015</c:v>
                  </c:pt>
                  <c:pt idx="5">
                    <c:v>Second Sem 2015</c:v>
                  </c:pt>
                  <c:pt idx="6">
                    <c:v>First Sem 2016</c:v>
                  </c:pt>
                  <c:pt idx="7">
                    <c:v>Second Sem 2016</c:v>
                  </c:pt>
                  <c:pt idx="8">
                    <c:v> First Sem 2017</c:v>
                  </c:pt>
                  <c:pt idx="9">
                    <c:v>Second Sem 2017</c:v>
                  </c:pt>
                  <c:pt idx="10">
                    <c:v>First Sem 2018</c:v>
                  </c:pt>
                  <c:pt idx="11">
                    <c:v>Second Sem 2018</c:v>
                  </c:pt>
                  <c:pt idx="12">
                    <c:v>First Sem 2019</c:v>
                  </c:pt>
                  <c:pt idx="13">
                    <c:v>Second Sem 2019</c:v>
                  </c:pt>
                  <c:pt idx="14">
                    <c:v>First Sem 2020</c:v>
                  </c:pt>
                  <c:pt idx="15">
                    <c:v>Second Sem 2020</c:v>
                  </c:pt>
                  <c:pt idx="16">
                    <c:v>First Sem 2021</c:v>
                  </c:pt>
                  <c:pt idx="17">
                    <c:v>Second Sem 2021</c:v>
                  </c:pt>
                  <c:pt idx="18">
                    <c:v>First Sem 2022</c:v>
                  </c:pt>
                  <c:pt idx="19">
                    <c:v>Second Sem 2022</c:v>
                  </c:pt>
                  <c:pt idx="20">
                    <c:v>First Sem 2023</c:v>
                  </c:pt>
                  <c:pt idx="21">
                    <c:v>Second Sem 2023</c:v>
                  </c:pt>
                </c:lvl>
                <c:lvl>
                  <c:pt idx="0">
                    <c:v>BEED &amp; BSED</c:v>
                  </c:pt>
                </c:lvl>
              </c:multiLvlStrCache>
            </c:multiLvlStrRef>
          </c:cat>
          <c:val>
            <c:numRef>
              <c:f>FINALLY!$E$3:$E$24</c:f>
              <c:numCache>
                <c:formatCode>General</c:formatCode>
                <c:ptCount val="22"/>
                <c:pt idx="0">
                  <c:v>93</c:v>
                </c:pt>
                <c:pt idx="1">
                  <c:v>89</c:v>
                </c:pt>
                <c:pt idx="2">
                  <c:v>142</c:v>
                </c:pt>
                <c:pt idx="3">
                  <c:v>98</c:v>
                </c:pt>
                <c:pt idx="4">
                  <c:v>90</c:v>
                </c:pt>
                <c:pt idx="5">
                  <c:v>68</c:v>
                </c:pt>
                <c:pt idx="6">
                  <c:v>6</c:v>
                </c:pt>
                <c:pt idx="7">
                  <c:v>0</c:v>
                </c:pt>
                <c:pt idx="8">
                  <c:v>0</c:v>
                </c:pt>
                <c:pt idx="9">
                  <c:v>0</c:v>
                </c:pt>
                <c:pt idx="10">
                  <c:v>52</c:v>
                </c:pt>
                <c:pt idx="11">
                  <c:v>43</c:v>
                </c:pt>
                <c:pt idx="12">
                  <c:v>101</c:v>
                </c:pt>
                <c:pt idx="13">
                  <c:v>78</c:v>
                </c:pt>
                <c:pt idx="14">
                  <c:v>59</c:v>
                </c:pt>
                <c:pt idx="15">
                  <c:v>46</c:v>
                </c:pt>
                <c:pt idx="16">
                  <c:v>67</c:v>
                </c:pt>
                <c:pt idx="17">
                  <c:v>57</c:v>
                </c:pt>
                <c:pt idx="18">
                  <c:v>79</c:v>
                </c:pt>
                <c:pt idx="19">
                  <c:v>55</c:v>
                </c:pt>
                <c:pt idx="20">
                  <c:v>40</c:v>
                </c:pt>
                <c:pt idx="21">
                  <c:v>37</c:v>
                </c:pt>
              </c:numCache>
            </c:numRef>
          </c:val>
          <c:smooth val="0"/>
          <c:extLst>
            <c:ext xmlns:c16="http://schemas.microsoft.com/office/drawing/2014/chart" uri="{C3380CC4-5D6E-409C-BE32-E72D297353CC}">
              <c16:uniqueId val="{00000001-9C25-48AD-980C-A29524832D3F}"/>
            </c:ext>
          </c:extLst>
        </c:ser>
        <c:dLbls>
          <c:showLegendKey val="0"/>
          <c:showVal val="0"/>
          <c:showCatName val="0"/>
          <c:showSerName val="0"/>
          <c:showPercent val="0"/>
          <c:showBubbleSize val="0"/>
        </c:dLbls>
        <c:marker val="1"/>
        <c:smooth val="0"/>
        <c:axId val="1223478896"/>
        <c:axId val="1223472656"/>
      </c:lineChart>
      <c:catAx>
        <c:axId val="122347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472656"/>
        <c:crosses val="autoZero"/>
        <c:auto val="1"/>
        <c:lblAlgn val="ctr"/>
        <c:lblOffset val="100"/>
        <c:noMultiLvlLbl val="0"/>
      </c:catAx>
      <c:valAx>
        <c:axId val="122347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47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Sheet3!$AL$8</c:f>
              <c:strCache>
                <c:ptCount val="1"/>
                <c:pt idx="0">
                  <c:v>Transfer BEED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Sheet3!$AJ$9:$AK$19</c:f>
              <c:multiLvlStrCache>
                <c:ptCount val="11"/>
                <c:lvl>
                  <c:pt idx="0">
                    <c:v>SY 2013</c:v>
                  </c:pt>
                  <c:pt idx="1">
                    <c:v>SY 2014</c:v>
                  </c:pt>
                  <c:pt idx="2">
                    <c:v>SY 2015</c:v>
                  </c:pt>
                  <c:pt idx="3">
                    <c:v>SY 2016</c:v>
                  </c:pt>
                  <c:pt idx="4">
                    <c:v> SY 2017</c:v>
                  </c:pt>
                  <c:pt idx="5">
                    <c:v>SY 2018</c:v>
                  </c:pt>
                  <c:pt idx="6">
                    <c:v>SY 2019</c:v>
                  </c:pt>
                  <c:pt idx="7">
                    <c:v>SY 2020</c:v>
                  </c:pt>
                  <c:pt idx="8">
                    <c:v>SY 2021</c:v>
                  </c:pt>
                  <c:pt idx="9">
                    <c:v>SY 2022</c:v>
                  </c:pt>
                  <c:pt idx="10">
                    <c:v>SY 2023</c:v>
                  </c:pt>
                </c:lvl>
                <c:lvl>
                  <c:pt idx="0">
                    <c:v>BEED &amp; BSED</c:v>
                  </c:pt>
                </c:lvl>
              </c:multiLvlStrCache>
            </c:multiLvlStrRef>
          </c:cat>
          <c:val>
            <c:numRef>
              <c:f>Sheet3!$AL$9:$AL$19</c:f>
              <c:numCache>
                <c:formatCode>General</c:formatCode>
                <c:ptCount val="11"/>
                <c:pt idx="0">
                  <c:v>0</c:v>
                </c:pt>
                <c:pt idx="1">
                  <c:v>0</c:v>
                </c:pt>
                <c:pt idx="2">
                  <c:v>16</c:v>
                </c:pt>
                <c:pt idx="3">
                  <c:v>1</c:v>
                </c:pt>
                <c:pt idx="4">
                  <c:v>8</c:v>
                </c:pt>
                <c:pt idx="5">
                  <c:v>6</c:v>
                </c:pt>
                <c:pt idx="6">
                  <c:v>7</c:v>
                </c:pt>
                <c:pt idx="7">
                  <c:v>5</c:v>
                </c:pt>
                <c:pt idx="8">
                  <c:v>7</c:v>
                </c:pt>
                <c:pt idx="9">
                  <c:v>5</c:v>
                </c:pt>
                <c:pt idx="10">
                  <c:v>2</c:v>
                </c:pt>
              </c:numCache>
            </c:numRef>
          </c:val>
          <c:smooth val="0"/>
          <c:extLst>
            <c:ext xmlns:c16="http://schemas.microsoft.com/office/drawing/2014/chart" uri="{C3380CC4-5D6E-409C-BE32-E72D297353CC}">
              <c16:uniqueId val="{00000000-08CB-49F1-8902-33134988F495}"/>
            </c:ext>
          </c:extLst>
        </c:ser>
        <c:ser>
          <c:idx val="1"/>
          <c:order val="1"/>
          <c:tx>
            <c:strRef>
              <c:f>Sheet3!$AM$8</c:f>
              <c:strCache>
                <c:ptCount val="1"/>
                <c:pt idx="0">
                  <c:v>Transfer BSED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Sheet3!$AJ$9:$AK$19</c:f>
              <c:multiLvlStrCache>
                <c:ptCount val="11"/>
                <c:lvl>
                  <c:pt idx="0">
                    <c:v>SY 2013</c:v>
                  </c:pt>
                  <c:pt idx="1">
                    <c:v>SY 2014</c:v>
                  </c:pt>
                  <c:pt idx="2">
                    <c:v>SY 2015</c:v>
                  </c:pt>
                  <c:pt idx="3">
                    <c:v>SY 2016</c:v>
                  </c:pt>
                  <c:pt idx="4">
                    <c:v> SY 2017</c:v>
                  </c:pt>
                  <c:pt idx="5">
                    <c:v>SY 2018</c:v>
                  </c:pt>
                  <c:pt idx="6">
                    <c:v>SY 2019</c:v>
                  </c:pt>
                  <c:pt idx="7">
                    <c:v>SY 2020</c:v>
                  </c:pt>
                  <c:pt idx="8">
                    <c:v>SY 2021</c:v>
                  </c:pt>
                  <c:pt idx="9">
                    <c:v>SY 2022</c:v>
                  </c:pt>
                  <c:pt idx="10">
                    <c:v>SY 2023</c:v>
                  </c:pt>
                </c:lvl>
                <c:lvl>
                  <c:pt idx="0">
                    <c:v>BEED &amp; BSED</c:v>
                  </c:pt>
                </c:lvl>
              </c:multiLvlStrCache>
            </c:multiLvlStrRef>
          </c:cat>
          <c:val>
            <c:numRef>
              <c:f>Sheet3!$AM$9:$AM$19</c:f>
              <c:numCache>
                <c:formatCode>General</c:formatCode>
                <c:ptCount val="11"/>
                <c:pt idx="0">
                  <c:v>0</c:v>
                </c:pt>
                <c:pt idx="1">
                  <c:v>5</c:v>
                </c:pt>
                <c:pt idx="2">
                  <c:v>5</c:v>
                </c:pt>
                <c:pt idx="3">
                  <c:v>0</c:v>
                </c:pt>
                <c:pt idx="4">
                  <c:v>0</c:v>
                </c:pt>
                <c:pt idx="5">
                  <c:v>4</c:v>
                </c:pt>
                <c:pt idx="6">
                  <c:v>9</c:v>
                </c:pt>
                <c:pt idx="7">
                  <c:v>5</c:v>
                </c:pt>
                <c:pt idx="8">
                  <c:v>4</c:v>
                </c:pt>
                <c:pt idx="9">
                  <c:v>8</c:v>
                </c:pt>
                <c:pt idx="10">
                  <c:v>0</c:v>
                </c:pt>
              </c:numCache>
            </c:numRef>
          </c:val>
          <c:smooth val="0"/>
          <c:extLst>
            <c:ext xmlns:c16="http://schemas.microsoft.com/office/drawing/2014/chart" uri="{C3380CC4-5D6E-409C-BE32-E72D297353CC}">
              <c16:uniqueId val="{00000001-08CB-49F1-8902-33134988F495}"/>
            </c:ext>
          </c:extLst>
        </c:ser>
        <c:dLbls>
          <c:showLegendKey val="0"/>
          <c:showVal val="0"/>
          <c:showCatName val="0"/>
          <c:showSerName val="0"/>
          <c:showPercent val="0"/>
          <c:showBubbleSize val="0"/>
        </c:dLbls>
        <c:marker val="1"/>
        <c:smooth val="0"/>
        <c:axId val="98521264"/>
        <c:axId val="98522224"/>
      </c:lineChart>
      <c:catAx>
        <c:axId val="9852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522224"/>
        <c:crosses val="autoZero"/>
        <c:auto val="1"/>
        <c:lblAlgn val="ctr"/>
        <c:lblOffset val="100"/>
        <c:noMultiLvlLbl val="0"/>
      </c:catAx>
      <c:valAx>
        <c:axId val="9852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52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Sheet3!$AR$8</c:f>
              <c:strCache>
                <c:ptCount val="1"/>
                <c:pt idx="0">
                  <c:v>Dropout BEED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Sheet3!$AP$9:$AQ$19</c:f>
              <c:multiLvlStrCache>
                <c:ptCount val="11"/>
                <c:lvl>
                  <c:pt idx="0">
                    <c:v>SY 2013</c:v>
                  </c:pt>
                  <c:pt idx="1">
                    <c:v>SY 2014</c:v>
                  </c:pt>
                  <c:pt idx="2">
                    <c:v>SY 2015</c:v>
                  </c:pt>
                  <c:pt idx="3">
                    <c:v>SY 2016</c:v>
                  </c:pt>
                  <c:pt idx="4">
                    <c:v> SY 2017</c:v>
                  </c:pt>
                  <c:pt idx="5">
                    <c:v>SY 2018</c:v>
                  </c:pt>
                  <c:pt idx="6">
                    <c:v>SY 2019</c:v>
                  </c:pt>
                  <c:pt idx="7">
                    <c:v>SY 2020</c:v>
                  </c:pt>
                  <c:pt idx="8">
                    <c:v>SY 2021</c:v>
                  </c:pt>
                  <c:pt idx="9">
                    <c:v>SY 2022</c:v>
                  </c:pt>
                  <c:pt idx="10">
                    <c:v>SY 2023</c:v>
                  </c:pt>
                </c:lvl>
                <c:lvl>
                  <c:pt idx="0">
                    <c:v>BEED &amp; BSED</c:v>
                  </c:pt>
                </c:lvl>
              </c:multiLvlStrCache>
            </c:multiLvlStrRef>
          </c:cat>
          <c:val>
            <c:numRef>
              <c:f>Sheet3!$AR$9:$AR$19</c:f>
              <c:numCache>
                <c:formatCode>General</c:formatCode>
                <c:ptCount val="11"/>
                <c:pt idx="0">
                  <c:v>18</c:v>
                </c:pt>
                <c:pt idx="1">
                  <c:v>26</c:v>
                </c:pt>
                <c:pt idx="2">
                  <c:v>3</c:v>
                </c:pt>
                <c:pt idx="3">
                  <c:v>4</c:v>
                </c:pt>
                <c:pt idx="4">
                  <c:v>0</c:v>
                </c:pt>
                <c:pt idx="5">
                  <c:v>0</c:v>
                </c:pt>
                <c:pt idx="6">
                  <c:v>11</c:v>
                </c:pt>
                <c:pt idx="7">
                  <c:v>1</c:v>
                </c:pt>
                <c:pt idx="8">
                  <c:v>0</c:v>
                </c:pt>
                <c:pt idx="9">
                  <c:v>20</c:v>
                </c:pt>
                <c:pt idx="10">
                  <c:v>3</c:v>
                </c:pt>
              </c:numCache>
            </c:numRef>
          </c:val>
          <c:smooth val="0"/>
          <c:extLst>
            <c:ext xmlns:c16="http://schemas.microsoft.com/office/drawing/2014/chart" uri="{C3380CC4-5D6E-409C-BE32-E72D297353CC}">
              <c16:uniqueId val="{00000000-75E2-4C69-8CD4-519F8EF3F503}"/>
            </c:ext>
          </c:extLst>
        </c:ser>
        <c:ser>
          <c:idx val="1"/>
          <c:order val="1"/>
          <c:tx>
            <c:strRef>
              <c:f>Sheet3!$AS$8</c:f>
              <c:strCache>
                <c:ptCount val="1"/>
                <c:pt idx="0">
                  <c:v>Dropout BSED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Sheet3!$AP$9:$AQ$19</c:f>
              <c:multiLvlStrCache>
                <c:ptCount val="11"/>
                <c:lvl>
                  <c:pt idx="0">
                    <c:v>SY 2013</c:v>
                  </c:pt>
                  <c:pt idx="1">
                    <c:v>SY 2014</c:v>
                  </c:pt>
                  <c:pt idx="2">
                    <c:v>SY 2015</c:v>
                  </c:pt>
                  <c:pt idx="3">
                    <c:v>SY 2016</c:v>
                  </c:pt>
                  <c:pt idx="4">
                    <c:v> SY 2017</c:v>
                  </c:pt>
                  <c:pt idx="5">
                    <c:v>SY 2018</c:v>
                  </c:pt>
                  <c:pt idx="6">
                    <c:v>SY 2019</c:v>
                  </c:pt>
                  <c:pt idx="7">
                    <c:v>SY 2020</c:v>
                  </c:pt>
                  <c:pt idx="8">
                    <c:v>SY 2021</c:v>
                  </c:pt>
                  <c:pt idx="9">
                    <c:v>SY 2022</c:v>
                  </c:pt>
                  <c:pt idx="10">
                    <c:v>SY 2023</c:v>
                  </c:pt>
                </c:lvl>
                <c:lvl>
                  <c:pt idx="0">
                    <c:v>BEED &amp; BSED</c:v>
                  </c:pt>
                </c:lvl>
              </c:multiLvlStrCache>
            </c:multiLvlStrRef>
          </c:cat>
          <c:val>
            <c:numRef>
              <c:f>Sheet3!$AS$9:$AS$19</c:f>
              <c:numCache>
                <c:formatCode>General</c:formatCode>
                <c:ptCount val="11"/>
                <c:pt idx="0">
                  <c:v>4</c:v>
                </c:pt>
                <c:pt idx="1">
                  <c:v>39</c:v>
                </c:pt>
                <c:pt idx="2">
                  <c:v>17</c:v>
                </c:pt>
                <c:pt idx="3">
                  <c:v>6</c:v>
                </c:pt>
                <c:pt idx="4">
                  <c:v>0</c:v>
                </c:pt>
                <c:pt idx="5">
                  <c:v>5</c:v>
                </c:pt>
                <c:pt idx="6">
                  <c:v>14</c:v>
                </c:pt>
                <c:pt idx="7">
                  <c:v>8</c:v>
                </c:pt>
                <c:pt idx="8">
                  <c:v>6</c:v>
                </c:pt>
                <c:pt idx="9">
                  <c:v>16</c:v>
                </c:pt>
                <c:pt idx="10">
                  <c:v>3</c:v>
                </c:pt>
              </c:numCache>
            </c:numRef>
          </c:val>
          <c:smooth val="0"/>
          <c:extLst>
            <c:ext xmlns:c16="http://schemas.microsoft.com/office/drawing/2014/chart" uri="{C3380CC4-5D6E-409C-BE32-E72D297353CC}">
              <c16:uniqueId val="{00000001-75E2-4C69-8CD4-519F8EF3F503}"/>
            </c:ext>
          </c:extLst>
        </c:ser>
        <c:dLbls>
          <c:showLegendKey val="0"/>
          <c:showVal val="0"/>
          <c:showCatName val="0"/>
          <c:showSerName val="0"/>
          <c:showPercent val="0"/>
          <c:showBubbleSize val="0"/>
        </c:dLbls>
        <c:marker val="1"/>
        <c:smooth val="0"/>
        <c:axId val="2097042768"/>
        <c:axId val="2097043248"/>
      </c:lineChart>
      <c:catAx>
        <c:axId val="209704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043248"/>
        <c:crosses val="autoZero"/>
        <c:auto val="1"/>
        <c:lblAlgn val="ctr"/>
        <c:lblOffset val="100"/>
        <c:noMultiLvlLbl val="0"/>
      </c:catAx>
      <c:valAx>
        <c:axId val="209704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04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Sheet3!$K$3</c:f>
              <c:strCache>
                <c:ptCount val="1"/>
                <c:pt idx="0">
                  <c:v>Percentage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Sheet3!$I$4:$J$14</c:f>
              <c:multiLvlStrCache>
                <c:ptCount val="11"/>
                <c:lvl>
                  <c:pt idx="0">
                    <c:v>SY 2013</c:v>
                  </c:pt>
                  <c:pt idx="1">
                    <c:v>SY 2014</c:v>
                  </c:pt>
                  <c:pt idx="2">
                    <c:v>SY 2015</c:v>
                  </c:pt>
                  <c:pt idx="3">
                    <c:v>SY 2016</c:v>
                  </c:pt>
                  <c:pt idx="4">
                    <c:v> SY 2017</c:v>
                  </c:pt>
                  <c:pt idx="5">
                    <c:v>SY 2018</c:v>
                  </c:pt>
                  <c:pt idx="6">
                    <c:v>SY 2019</c:v>
                  </c:pt>
                  <c:pt idx="7">
                    <c:v>SY 2020</c:v>
                  </c:pt>
                  <c:pt idx="8">
                    <c:v>SY 2021</c:v>
                  </c:pt>
                  <c:pt idx="9">
                    <c:v>SY 2022</c:v>
                  </c:pt>
                  <c:pt idx="10">
                    <c:v>SY 2023</c:v>
                  </c:pt>
                </c:lvl>
                <c:lvl>
                  <c:pt idx="0">
                    <c:v>BEED</c:v>
                  </c:pt>
                </c:lvl>
              </c:multiLvlStrCache>
            </c:multiLvlStrRef>
          </c:cat>
          <c:val>
            <c:numRef>
              <c:f>Sheet3!$K$4:$K$14</c:f>
              <c:numCache>
                <c:formatCode>General</c:formatCode>
                <c:ptCount val="11"/>
                <c:pt idx="0">
                  <c:v>26</c:v>
                </c:pt>
                <c:pt idx="1">
                  <c:v>25</c:v>
                </c:pt>
                <c:pt idx="2">
                  <c:v>13</c:v>
                </c:pt>
                <c:pt idx="3">
                  <c:v>16</c:v>
                </c:pt>
                <c:pt idx="4">
                  <c:v>8</c:v>
                </c:pt>
                <c:pt idx="5">
                  <c:v>15</c:v>
                </c:pt>
                <c:pt idx="6">
                  <c:v>32</c:v>
                </c:pt>
                <c:pt idx="7">
                  <c:v>0</c:v>
                </c:pt>
                <c:pt idx="8">
                  <c:v>0</c:v>
                </c:pt>
                <c:pt idx="9">
                  <c:v>58</c:v>
                </c:pt>
                <c:pt idx="10">
                  <c:v>34</c:v>
                </c:pt>
              </c:numCache>
            </c:numRef>
          </c:val>
          <c:smooth val="0"/>
          <c:extLst>
            <c:ext xmlns:c16="http://schemas.microsoft.com/office/drawing/2014/chart" uri="{C3380CC4-5D6E-409C-BE32-E72D297353CC}">
              <c16:uniqueId val="{00000000-67CE-463C-8751-1E35C2F66945}"/>
            </c:ext>
          </c:extLst>
        </c:ser>
        <c:dLbls>
          <c:showLegendKey val="0"/>
          <c:showVal val="0"/>
          <c:showCatName val="0"/>
          <c:showSerName val="0"/>
          <c:showPercent val="0"/>
          <c:showBubbleSize val="0"/>
        </c:dLbls>
        <c:marker val="1"/>
        <c:smooth val="0"/>
        <c:axId val="2097043728"/>
        <c:axId val="2097046608"/>
      </c:lineChart>
      <c:catAx>
        <c:axId val="209704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046608"/>
        <c:crosses val="autoZero"/>
        <c:auto val="1"/>
        <c:lblAlgn val="ctr"/>
        <c:lblOffset val="100"/>
        <c:noMultiLvlLbl val="0"/>
      </c:catAx>
      <c:valAx>
        <c:axId val="209704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043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Frequency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Sheet3!$E$3</c:f>
              <c:strCache>
                <c:ptCount val="1"/>
                <c:pt idx="0">
                  <c:v>Enrolled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Sheet3!$C$4:$D$14</c:f>
              <c:multiLvlStrCache>
                <c:ptCount val="11"/>
                <c:lvl>
                  <c:pt idx="0">
                    <c:v>SY 2013</c:v>
                  </c:pt>
                  <c:pt idx="1">
                    <c:v>SY 2014</c:v>
                  </c:pt>
                  <c:pt idx="2">
                    <c:v>SY 2015</c:v>
                  </c:pt>
                  <c:pt idx="3">
                    <c:v>SY 2016</c:v>
                  </c:pt>
                  <c:pt idx="4">
                    <c:v> SY 2017</c:v>
                  </c:pt>
                  <c:pt idx="5">
                    <c:v>SY 2018</c:v>
                  </c:pt>
                  <c:pt idx="6">
                    <c:v>SY 2019</c:v>
                  </c:pt>
                  <c:pt idx="7">
                    <c:v>SY 2020</c:v>
                  </c:pt>
                  <c:pt idx="8">
                    <c:v>SY 2021</c:v>
                  </c:pt>
                  <c:pt idx="9">
                    <c:v>SY 2022</c:v>
                  </c:pt>
                  <c:pt idx="10">
                    <c:v>SY 2023</c:v>
                  </c:pt>
                </c:lvl>
                <c:lvl>
                  <c:pt idx="0">
                    <c:v>BEED</c:v>
                  </c:pt>
                </c:lvl>
              </c:multiLvlStrCache>
            </c:multiLvlStrRef>
          </c:cat>
          <c:val>
            <c:numRef>
              <c:f>Sheet3!$E$4:$E$14</c:f>
              <c:numCache>
                <c:formatCode>General</c:formatCode>
                <c:ptCount val="11"/>
                <c:pt idx="0">
                  <c:v>62</c:v>
                </c:pt>
                <c:pt idx="1">
                  <c:v>76</c:v>
                </c:pt>
                <c:pt idx="2">
                  <c:v>80</c:v>
                </c:pt>
                <c:pt idx="3">
                  <c:v>76</c:v>
                </c:pt>
                <c:pt idx="4">
                  <c:v>48</c:v>
                </c:pt>
                <c:pt idx="5">
                  <c:v>74</c:v>
                </c:pt>
                <c:pt idx="6">
                  <c:v>57</c:v>
                </c:pt>
                <c:pt idx="7">
                  <c:v>5</c:v>
                </c:pt>
                <c:pt idx="8">
                  <c:v>0</c:v>
                </c:pt>
                <c:pt idx="9">
                  <c:v>26</c:v>
                </c:pt>
                <c:pt idx="10">
                  <c:v>32</c:v>
                </c:pt>
              </c:numCache>
            </c:numRef>
          </c:val>
          <c:smooth val="0"/>
          <c:extLst>
            <c:ext xmlns:c16="http://schemas.microsoft.com/office/drawing/2014/chart" uri="{C3380CC4-5D6E-409C-BE32-E72D297353CC}">
              <c16:uniqueId val="{00000000-97BF-488C-A41E-0EC53B2D0B06}"/>
            </c:ext>
          </c:extLst>
        </c:ser>
        <c:ser>
          <c:idx val="1"/>
          <c:order val="1"/>
          <c:tx>
            <c:strRef>
              <c:f>Sheet3!$F$3</c:f>
              <c:strCache>
                <c:ptCount val="1"/>
                <c:pt idx="0">
                  <c:v>Graduated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Sheet3!$C$4:$D$14</c:f>
              <c:multiLvlStrCache>
                <c:ptCount val="11"/>
                <c:lvl>
                  <c:pt idx="0">
                    <c:v>SY 2013</c:v>
                  </c:pt>
                  <c:pt idx="1">
                    <c:v>SY 2014</c:v>
                  </c:pt>
                  <c:pt idx="2">
                    <c:v>SY 2015</c:v>
                  </c:pt>
                  <c:pt idx="3">
                    <c:v>SY 2016</c:v>
                  </c:pt>
                  <c:pt idx="4">
                    <c:v> SY 2017</c:v>
                  </c:pt>
                  <c:pt idx="5">
                    <c:v>SY 2018</c:v>
                  </c:pt>
                  <c:pt idx="6">
                    <c:v>SY 2019</c:v>
                  </c:pt>
                  <c:pt idx="7">
                    <c:v>SY 2020</c:v>
                  </c:pt>
                  <c:pt idx="8">
                    <c:v>SY 2021</c:v>
                  </c:pt>
                  <c:pt idx="9">
                    <c:v>SY 2022</c:v>
                  </c:pt>
                  <c:pt idx="10">
                    <c:v>SY 2023</c:v>
                  </c:pt>
                </c:lvl>
                <c:lvl>
                  <c:pt idx="0">
                    <c:v>BEED</c:v>
                  </c:pt>
                </c:lvl>
              </c:multiLvlStrCache>
            </c:multiLvlStrRef>
          </c:cat>
          <c:val>
            <c:numRef>
              <c:f>Sheet3!$F$4:$F$14</c:f>
              <c:numCache>
                <c:formatCode>General</c:formatCode>
                <c:ptCount val="11"/>
                <c:pt idx="0">
                  <c:v>16</c:v>
                </c:pt>
                <c:pt idx="1">
                  <c:v>19</c:v>
                </c:pt>
                <c:pt idx="2">
                  <c:v>10</c:v>
                </c:pt>
                <c:pt idx="3">
                  <c:v>12</c:v>
                </c:pt>
                <c:pt idx="4">
                  <c:v>4</c:v>
                </c:pt>
                <c:pt idx="5">
                  <c:v>11</c:v>
                </c:pt>
                <c:pt idx="6">
                  <c:v>18</c:v>
                </c:pt>
                <c:pt idx="7">
                  <c:v>0</c:v>
                </c:pt>
                <c:pt idx="8">
                  <c:v>0</c:v>
                </c:pt>
                <c:pt idx="9">
                  <c:v>15</c:v>
                </c:pt>
                <c:pt idx="10">
                  <c:v>11</c:v>
                </c:pt>
              </c:numCache>
            </c:numRef>
          </c:val>
          <c:smooth val="0"/>
          <c:extLst>
            <c:ext xmlns:c16="http://schemas.microsoft.com/office/drawing/2014/chart" uri="{C3380CC4-5D6E-409C-BE32-E72D297353CC}">
              <c16:uniqueId val="{00000001-97BF-488C-A41E-0EC53B2D0B06}"/>
            </c:ext>
          </c:extLst>
        </c:ser>
        <c:dLbls>
          <c:showLegendKey val="0"/>
          <c:showVal val="0"/>
          <c:showCatName val="0"/>
          <c:showSerName val="0"/>
          <c:showPercent val="0"/>
          <c:showBubbleSize val="0"/>
        </c:dLbls>
        <c:marker val="1"/>
        <c:smooth val="0"/>
        <c:axId val="2015928272"/>
        <c:axId val="2015929232"/>
      </c:lineChart>
      <c:catAx>
        <c:axId val="201592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929232"/>
        <c:crosses val="autoZero"/>
        <c:auto val="1"/>
        <c:lblAlgn val="ctr"/>
        <c:lblOffset val="100"/>
        <c:noMultiLvlLbl val="0"/>
      </c:catAx>
      <c:valAx>
        <c:axId val="201592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92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rLXPexniZh083OG3CL1d1/1GA==">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2024-12-16T11:59:00Z</dcterms:created>
  <dc:creator>Administrator</dc:creator>
</cp:coreProperties>
</file>